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5E" w:rsidRDefault="003C2B5E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747"/>
        <w:gridCol w:w="4748"/>
      </w:tblGrid>
      <w:tr w:rsidR="00E91E25" w:rsidTr="008D7572">
        <w:trPr>
          <w:trHeight w:val="2315"/>
        </w:trPr>
        <w:tc>
          <w:tcPr>
            <w:tcW w:w="4747" w:type="dxa"/>
          </w:tcPr>
          <w:p w:rsidR="00CA7103" w:rsidRDefault="00CA7103" w:rsidP="00CA7103">
            <w:r>
              <w:t>Løgtingið.</w:t>
            </w:r>
          </w:p>
          <w:p w:rsidR="00E91E25" w:rsidRDefault="00E91E25"/>
        </w:tc>
        <w:tc>
          <w:tcPr>
            <w:tcW w:w="4748" w:type="dxa"/>
          </w:tcPr>
          <w:p w:rsidR="00E91E25" w:rsidRPr="008D7572" w:rsidRDefault="00E91E25" w:rsidP="008D7572">
            <w:pPr>
              <w:ind w:firstLine="1632"/>
              <w:rPr>
                <w:sz w:val="20"/>
              </w:rPr>
            </w:pPr>
            <w:r w:rsidRPr="008D7572">
              <w:rPr>
                <w:sz w:val="20"/>
              </w:rPr>
              <w:t xml:space="preserve">Tórshavn, tann </w:t>
            </w:r>
            <w:r w:rsidR="00954F8A">
              <w:rPr>
                <w:sz w:val="20"/>
              </w:rPr>
              <w:t>24. januar 2012</w:t>
            </w:r>
          </w:p>
          <w:p w:rsidR="00BF673F" w:rsidRPr="008D7572" w:rsidRDefault="0053714A" w:rsidP="008D7572">
            <w:pPr>
              <w:ind w:firstLine="1632"/>
              <w:rPr>
                <w:sz w:val="20"/>
              </w:rPr>
            </w:pPr>
            <w:r w:rsidRPr="008D7572">
              <w:rPr>
                <w:sz w:val="20"/>
              </w:rPr>
              <w:t xml:space="preserve">Vmr. </w:t>
            </w:r>
            <w:r w:rsidR="00BF673F" w:rsidRPr="008D7572">
              <w:rPr>
                <w:sz w:val="20"/>
              </w:rPr>
              <w:t xml:space="preserve"> </w:t>
            </w:r>
            <w:r w:rsidR="00E91E25" w:rsidRPr="008D7572">
              <w:rPr>
                <w:sz w:val="20"/>
              </w:rPr>
              <w:t>J.Nr.:  /</w:t>
            </w:r>
          </w:p>
          <w:p w:rsidR="00BF673F" w:rsidRPr="008D7572" w:rsidRDefault="00BF673F" w:rsidP="008D7572">
            <w:pPr>
              <w:ind w:firstLine="1632"/>
              <w:rPr>
                <w:sz w:val="20"/>
              </w:rPr>
            </w:pPr>
          </w:p>
          <w:p w:rsidR="00E91E25" w:rsidRPr="008D7572" w:rsidRDefault="00E91E25" w:rsidP="008D7572">
            <w:pPr>
              <w:ind w:firstLine="1632"/>
              <w:rPr>
                <w:sz w:val="20"/>
              </w:rPr>
            </w:pPr>
            <w:r w:rsidRPr="008D7572">
              <w:rPr>
                <w:sz w:val="20"/>
              </w:rPr>
              <w:t xml:space="preserve">Viðgjørt: </w:t>
            </w:r>
            <w:r w:rsidR="00954F8A">
              <w:rPr>
                <w:sz w:val="20"/>
              </w:rPr>
              <w:t>BjD</w:t>
            </w:r>
          </w:p>
          <w:p w:rsidR="00E91E25" w:rsidRDefault="00E91E25" w:rsidP="008D7572"/>
        </w:tc>
      </w:tr>
    </w:tbl>
    <w:p w:rsidR="003C2B5E" w:rsidRPr="00B44126" w:rsidRDefault="00EF0D9D" w:rsidP="00430963">
      <w:pPr>
        <w:rPr>
          <w:b/>
        </w:rPr>
      </w:pPr>
      <w:r>
        <w:rPr>
          <w:b/>
        </w:rPr>
        <w:t>Løgtingsmál nr.    /20</w:t>
      </w:r>
      <w:r w:rsidR="0053714A">
        <w:rPr>
          <w:b/>
        </w:rPr>
        <w:t>1</w:t>
      </w:r>
      <w:r w:rsidR="00FE3DE7">
        <w:rPr>
          <w:b/>
        </w:rPr>
        <w:t>1</w:t>
      </w:r>
      <w:r w:rsidR="00BF673F" w:rsidRPr="00B44126">
        <w:rPr>
          <w:b/>
        </w:rPr>
        <w:t>: Uppskot til løgtingslóg um</w:t>
      </w:r>
      <w:r w:rsidR="00954F8A">
        <w:rPr>
          <w:b/>
        </w:rPr>
        <w:t xml:space="preserve"> broyting í løgtingslóg um trygging móti avleiðingunum av arbeiðsskaða</w:t>
      </w:r>
    </w:p>
    <w:p w:rsidR="00BF673F" w:rsidRDefault="00BF673F" w:rsidP="00430963"/>
    <w:p w:rsidR="00BF673F" w:rsidRPr="00B44126" w:rsidRDefault="00BF673F" w:rsidP="00BF673F">
      <w:pPr>
        <w:pStyle w:val="Overskrift2"/>
        <w:rPr>
          <w:lang w:val="fo-FO"/>
        </w:rPr>
      </w:pPr>
    </w:p>
    <w:p w:rsidR="00BF673F" w:rsidRPr="00B44126" w:rsidRDefault="00BF673F" w:rsidP="00BF673F">
      <w:pPr>
        <w:pStyle w:val="Overskrift2"/>
        <w:rPr>
          <w:lang w:val="fo-FO"/>
        </w:rPr>
      </w:pPr>
      <w:r w:rsidRPr="00B44126">
        <w:rPr>
          <w:lang w:val="fo-FO"/>
        </w:rPr>
        <w:t>Uppskot</w:t>
      </w:r>
    </w:p>
    <w:p w:rsidR="00BF673F" w:rsidRDefault="00BF673F" w:rsidP="00BF673F">
      <w:pPr>
        <w:jc w:val="center"/>
        <w:rPr>
          <w:b/>
        </w:rPr>
      </w:pPr>
    </w:p>
    <w:p w:rsidR="00BF673F" w:rsidRDefault="00BF673F" w:rsidP="00BF673F">
      <w:pPr>
        <w:jc w:val="center"/>
        <w:rPr>
          <w:b/>
        </w:rPr>
      </w:pPr>
      <w:r>
        <w:rPr>
          <w:b/>
        </w:rPr>
        <w:t>til</w:t>
      </w:r>
    </w:p>
    <w:p w:rsidR="00BF673F" w:rsidRDefault="00BF673F" w:rsidP="00BF673F">
      <w:pPr>
        <w:jc w:val="center"/>
        <w:rPr>
          <w:b/>
        </w:rPr>
      </w:pPr>
    </w:p>
    <w:p w:rsidR="00BF673F" w:rsidRDefault="00BF673F" w:rsidP="00BF673F">
      <w:pPr>
        <w:jc w:val="center"/>
        <w:rPr>
          <w:b/>
        </w:rPr>
      </w:pPr>
      <w:r>
        <w:rPr>
          <w:b/>
        </w:rPr>
        <w:t xml:space="preserve">løgtingslóg um </w:t>
      </w:r>
      <w:r w:rsidR="00954F8A">
        <w:rPr>
          <w:b/>
        </w:rPr>
        <w:t>broyting í løgtingslóg um trygging móti avleiðingunum av arbeiðsskaða</w:t>
      </w:r>
    </w:p>
    <w:p w:rsidR="00BF673F" w:rsidRDefault="00BF673F" w:rsidP="00BF673F">
      <w:pPr>
        <w:jc w:val="center"/>
        <w:rPr>
          <w:b/>
        </w:rPr>
      </w:pPr>
    </w:p>
    <w:p w:rsidR="00BF673F" w:rsidRDefault="00BF673F" w:rsidP="00BF673F">
      <w:pPr>
        <w:rPr>
          <w:b/>
          <w:bCs/>
        </w:rPr>
        <w:sectPr w:rsidR="00BF673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396" w:right="1134" w:bottom="1134" w:left="1418" w:header="397" w:footer="340" w:gutter="0"/>
          <w:cols w:space="708"/>
          <w:titlePg/>
        </w:sectPr>
      </w:pPr>
    </w:p>
    <w:p w:rsidR="00BF673F" w:rsidRDefault="00BF673F" w:rsidP="00BF673F">
      <w:pPr>
        <w:rPr>
          <w:bCs/>
        </w:rPr>
      </w:pPr>
      <w:r>
        <w:rPr>
          <w:b/>
          <w:bCs/>
        </w:rPr>
        <w:lastRenderedPageBreak/>
        <w:t>§ 1.</w:t>
      </w:r>
      <w:r w:rsidR="00954F8A">
        <w:rPr>
          <w:b/>
          <w:bCs/>
        </w:rPr>
        <w:t xml:space="preserve"> </w:t>
      </w:r>
      <w:r w:rsidR="00954F8A">
        <w:rPr>
          <w:bCs/>
        </w:rPr>
        <w:t xml:space="preserve">Í løgtingslóg nr. 67 frá 25. mai 2009 um trygging móti </w:t>
      </w:r>
      <w:r w:rsidR="004F3533">
        <w:rPr>
          <w:bCs/>
        </w:rPr>
        <w:t>avleiðingunum av arbeiðsskaða, verða gjørdar hesar broytingar</w:t>
      </w:r>
      <w:r w:rsidR="00BA65CC">
        <w:rPr>
          <w:bCs/>
        </w:rPr>
        <w:t>:</w:t>
      </w:r>
    </w:p>
    <w:p w:rsidR="00BA65CC" w:rsidRDefault="00BA65CC" w:rsidP="00BF673F">
      <w:pPr>
        <w:rPr>
          <w:bCs/>
        </w:rPr>
      </w:pPr>
    </w:p>
    <w:p w:rsidR="00BA65CC" w:rsidRDefault="00BA65CC" w:rsidP="00BA65CC">
      <w:pPr>
        <w:numPr>
          <w:ilvl w:val="0"/>
          <w:numId w:val="5"/>
        </w:numPr>
        <w:ind w:left="567" w:hanging="425"/>
        <w:rPr>
          <w:bCs/>
        </w:rPr>
      </w:pPr>
      <w:r>
        <w:rPr>
          <w:bCs/>
        </w:rPr>
        <w:t>§ 10, stk. 3, verður broytt soleiðis:</w:t>
      </w:r>
    </w:p>
    <w:p w:rsidR="00BA65CC" w:rsidRDefault="00BA65CC" w:rsidP="00BA65CC">
      <w:pPr>
        <w:ind w:left="567"/>
        <w:rPr>
          <w:bCs/>
        </w:rPr>
      </w:pPr>
      <w:r>
        <w:rPr>
          <w:bCs/>
        </w:rPr>
        <w:t>“Vinnusjúka er eisini aðrar sjúkur, m.a. sjúkur, sum livandi fødd børn hava fingið í móðurlívi, um tað verður prógvað, annahvørt at sjúkan eftir nýggjastu læknafrøðiligu royndunum lýkur krøvini í § 10, stk. 1 og stk. 2, ella sjúkan einans ella í høvuðsheitum verður hildin at vera elvd orsakað av serligum arbeiðsumhvørvi.”</w:t>
      </w:r>
    </w:p>
    <w:p w:rsidR="00BA65CC" w:rsidRDefault="00BA65CC" w:rsidP="00BA65CC">
      <w:pPr>
        <w:ind w:left="567"/>
        <w:rPr>
          <w:bCs/>
        </w:rPr>
      </w:pPr>
    </w:p>
    <w:p w:rsidR="00BA65CC" w:rsidRDefault="00BA65CC" w:rsidP="00BA65CC">
      <w:pPr>
        <w:numPr>
          <w:ilvl w:val="0"/>
          <w:numId w:val="5"/>
        </w:numPr>
        <w:ind w:left="567" w:hanging="425"/>
        <w:rPr>
          <w:bCs/>
        </w:rPr>
      </w:pPr>
      <w:r>
        <w:rPr>
          <w:bCs/>
        </w:rPr>
        <w:t>Í § 10 verður sett inn nýtt stk. 6:</w:t>
      </w:r>
    </w:p>
    <w:p w:rsidR="00BA65CC" w:rsidRDefault="00BA65CC" w:rsidP="00BA65CC">
      <w:pPr>
        <w:ind w:left="567"/>
        <w:rPr>
          <w:bCs/>
        </w:rPr>
      </w:pPr>
      <w:r>
        <w:rPr>
          <w:bCs/>
        </w:rPr>
        <w:t>“Ein persónur, sum hevur fingið eina sjúku, ið er tikin við í vinnusjúkuskránni</w:t>
      </w:r>
      <w:r w:rsidR="007B4282">
        <w:rPr>
          <w:bCs/>
        </w:rPr>
        <w:t xml:space="preserve"> sbrt. § 10, stk. 2, kann krevja veitingar eftir lógini, uttan so at tað má metast, at sjúkan  mest sannlík</w:t>
      </w:r>
      <w:r w:rsidR="003D126B">
        <w:rPr>
          <w:bCs/>
        </w:rPr>
        <w:t>t</w:t>
      </w:r>
      <w:r w:rsidR="007B4282">
        <w:rPr>
          <w:bCs/>
        </w:rPr>
        <w:t xml:space="preserve"> er orsakað av øðrum viðurskiftum enn teimum vinnuligu.” </w:t>
      </w:r>
    </w:p>
    <w:p w:rsidR="00BA65CC" w:rsidRDefault="00BA65CC" w:rsidP="007B4282">
      <w:pPr>
        <w:ind w:left="567"/>
        <w:rPr>
          <w:bCs/>
        </w:rPr>
      </w:pPr>
    </w:p>
    <w:p w:rsidR="00BA65CC" w:rsidRDefault="007B4282" w:rsidP="00BA65CC">
      <w:pPr>
        <w:numPr>
          <w:ilvl w:val="0"/>
          <w:numId w:val="5"/>
        </w:numPr>
        <w:ind w:left="567" w:hanging="425"/>
        <w:rPr>
          <w:bCs/>
        </w:rPr>
      </w:pPr>
      <w:r>
        <w:rPr>
          <w:bCs/>
        </w:rPr>
        <w:t>Í § 23, stk. 5 verður sett inn aftan á “hesi lóg”:</w:t>
      </w:r>
    </w:p>
    <w:p w:rsidR="007B4282" w:rsidRDefault="007B4282" w:rsidP="007B4282">
      <w:pPr>
        <w:ind w:left="567"/>
        <w:rPr>
          <w:bCs/>
        </w:rPr>
      </w:pPr>
      <w:r>
        <w:rPr>
          <w:bCs/>
        </w:rPr>
        <w:t>“Fyri vinnusjúkur, sambært § 10, verður 1 árs freistin roknað frá tí degi, tann tryggjaði ella avvar</w:t>
      </w:r>
      <w:r w:rsidR="003D126B">
        <w:rPr>
          <w:bCs/>
        </w:rPr>
        <w:t>ð</w:t>
      </w:r>
      <w:r>
        <w:rPr>
          <w:bCs/>
        </w:rPr>
        <w:t xml:space="preserve">andi hansara </w:t>
      </w:r>
      <w:r>
        <w:rPr>
          <w:bCs/>
        </w:rPr>
        <w:lastRenderedPageBreak/>
        <w:t>gjørdist varug við, at sjúkan kann vera treytað av arbeið</w:t>
      </w:r>
      <w:r w:rsidR="00C516FC">
        <w:rPr>
          <w:bCs/>
        </w:rPr>
        <w:t>i</w:t>
      </w:r>
      <w:r>
        <w:rPr>
          <w:bCs/>
        </w:rPr>
        <w:t xml:space="preserve">num.” </w:t>
      </w:r>
    </w:p>
    <w:p w:rsidR="007B4282" w:rsidRDefault="007B4282" w:rsidP="007B4282">
      <w:pPr>
        <w:ind w:left="567"/>
        <w:rPr>
          <w:bCs/>
        </w:rPr>
      </w:pPr>
    </w:p>
    <w:p w:rsidR="007B4282" w:rsidRDefault="003E5EDA" w:rsidP="00BA65CC">
      <w:pPr>
        <w:numPr>
          <w:ilvl w:val="0"/>
          <w:numId w:val="5"/>
        </w:numPr>
        <w:ind w:left="567" w:hanging="425"/>
        <w:rPr>
          <w:bCs/>
        </w:rPr>
      </w:pPr>
      <w:r>
        <w:rPr>
          <w:bCs/>
        </w:rPr>
        <w:t>Í § 23, stk. 5 verður seinasta punktum óbroytt.</w:t>
      </w:r>
    </w:p>
    <w:p w:rsidR="007B4282" w:rsidRDefault="007B4282" w:rsidP="003E5EDA">
      <w:pPr>
        <w:ind w:left="567"/>
        <w:rPr>
          <w:bCs/>
        </w:rPr>
      </w:pPr>
    </w:p>
    <w:p w:rsidR="007B4282" w:rsidRDefault="003E5EDA" w:rsidP="00BA65CC">
      <w:pPr>
        <w:numPr>
          <w:ilvl w:val="0"/>
          <w:numId w:val="5"/>
        </w:numPr>
        <w:ind w:left="567" w:hanging="425"/>
        <w:rPr>
          <w:bCs/>
        </w:rPr>
      </w:pPr>
      <w:r>
        <w:rPr>
          <w:bCs/>
        </w:rPr>
        <w:t>Í § 27, stk. 4 verður skoytt uppí:</w:t>
      </w:r>
    </w:p>
    <w:p w:rsidR="003E5EDA" w:rsidRDefault="003E5EDA" w:rsidP="003E5EDA">
      <w:pPr>
        <w:pStyle w:val="Listeafsnit"/>
        <w:ind w:left="567"/>
        <w:rPr>
          <w:bCs/>
        </w:rPr>
      </w:pPr>
      <w:r>
        <w:rPr>
          <w:bCs/>
        </w:rPr>
        <w:t>“Útreiðslurnar, ið standast av hesum verða rindaðar av viðkomandi tryggingarfelagi, Vinnusjúkugrunninum ella av landinum.”</w:t>
      </w:r>
    </w:p>
    <w:p w:rsidR="003E5EDA" w:rsidRDefault="003E5EDA" w:rsidP="003E5EDA">
      <w:pPr>
        <w:pStyle w:val="Listeafsnit"/>
        <w:ind w:left="567"/>
        <w:rPr>
          <w:bCs/>
        </w:rPr>
      </w:pPr>
    </w:p>
    <w:p w:rsidR="003E5EDA" w:rsidRDefault="002B673B" w:rsidP="00BA65CC">
      <w:pPr>
        <w:numPr>
          <w:ilvl w:val="0"/>
          <w:numId w:val="5"/>
        </w:numPr>
        <w:ind w:left="567" w:hanging="425"/>
        <w:rPr>
          <w:bCs/>
        </w:rPr>
      </w:pPr>
      <w:r>
        <w:rPr>
          <w:bCs/>
        </w:rPr>
        <w:t xml:space="preserve">Í § 27, stk. 5, verður “stk. 1, 3 og 4” broytt til “stk. 1 og 3” og aftaná: “tryggingarfeløgini, sum tekna arbeiðsskaðatryggingar” verður: “og Vinnusjúkugrunnurin” skoytt uppí. </w:t>
      </w:r>
    </w:p>
    <w:p w:rsidR="003E5EDA" w:rsidRDefault="003E5EDA" w:rsidP="003E5EDA">
      <w:pPr>
        <w:pStyle w:val="Listeafsnit"/>
        <w:rPr>
          <w:bCs/>
        </w:rPr>
      </w:pPr>
    </w:p>
    <w:p w:rsidR="003E5EDA" w:rsidRDefault="002B673B" w:rsidP="00BA65CC">
      <w:pPr>
        <w:numPr>
          <w:ilvl w:val="0"/>
          <w:numId w:val="5"/>
        </w:numPr>
        <w:ind w:left="567" w:hanging="425"/>
        <w:rPr>
          <w:bCs/>
        </w:rPr>
      </w:pPr>
      <w:r>
        <w:rPr>
          <w:bCs/>
        </w:rPr>
        <w:t>Í § 28, stk 3, verður “§ 10, stk. 2,” broytt til: “§ 10”.</w:t>
      </w:r>
    </w:p>
    <w:p w:rsidR="002B673B" w:rsidRPr="002B673B" w:rsidRDefault="002B673B" w:rsidP="002B673B">
      <w:pPr>
        <w:ind w:left="567"/>
        <w:rPr>
          <w:bCs/>
        </w:rPr>
      </w:pPr>
    </w:p>
    <w:p w:rsidR="002B673B" w:rsidRDefault="002B673B" w:rsidP="00BA65CC">
      <w:pPr>
        <w:numPr>
          <w:ilvl w:val="0"/>
          <w:numId w:val="5"/>
        </w:numPr>
        <w:ind w:left="567" w:hanging="425"/>
        <w:rPr>
          <w:bCs/>
        </w:rPr>
      </w:pPr>
      <w:r>
        <w:rPr>
          <w:bCs/>
        </w:rPr>
        <w:t>Í § 42, stk. 2 verður: “landsstýrismanninum” broytt til: “Vanlukkutryggingarráðnum”.</w:t>
      </w:r>
    </w:p>
    <w:p w:rsidR="002B673B" w:rsidRDefault="002B673B" w:rsidP="00BA65CC">
      <w:pPr>
        <w:numPr>
          <w:ilvl w:val="0"/>
          <w:numId w:val="5"/>
        </w:numPr>
        <w:ind w:left="567" w:hanging="425"/>
        <w:rPr>
          <w:bCs/>
        </w:rPr>
      </w:pPr>
      <w:r>
        <w:rPr>
          <w:bCs/>
        </w:rPr>
        <w:t>Í § 43, stk. 1</w:t>
      </w:r>
      <w:r w:rsidR="00FC3F96">
        <w:rPr>
          <w:bCs/>
        </w:rPr>
        <w:t xml:space="preserve"> verður: “landsstýrismanninum” broytt til: “Vanlukkutryggingarráðnum”.</w:t>
      </w:r>
    </w:p>
    <w:p w:rsidR="002B673B" w:rsidRDefault="002B673B" w:rsidP="002B673B">
      <w:pPr>
        <w:pStyle w:val="Listeafsnit"/>
        <w:rPr>
          <w:bCs/>
        </w:rPr>
      </w:pPr>
    </w:p>
    <w:p w:rsidR="002B673B" w:rsidRDefault="002B673B" w:rsidP="0076114F">
      <w:pPr>
        <w:ind w:left="567"/>
        <w:rPr>
          <w:bCs/>
        </w:rPr>
      </w:pPr>
    </w:p>
    <w:p w:rsidR="002B673B" w:rsidRDefault="002B673B" w:rsidP="002B673B">
      <w:pPr>
        <w:pStyle w:val="Listeafsnit"/>
        <w:rPr>
          <w:bCs/>
        </w:rPr>
      </w:pPr>
    </w:p>
    <w:p w:rsidR="007B4282" w:rsidRDefault="007B4282" w:rsidP="007B4282">
      <w:pPr>
        <w:rPr>
          <w:bCs/>
        </w:rPr>
      </w:pPr>
    </w:p>
    <w:p w:rsidR="00BF673F" w:rsidRPr="002B58C0" w:rsidRDefault="00BF673F" w:rsidP="00BF673F">
      <w:pPr>
        <w:rPr>
          <w:bCs/>
        </w:rPr>
        <w:sectPr w:rsidR="00BF673F" w:rsidRPr="002B58C0" w:rsidSect="0076114F">
          <w:type w:val="continuous"/>
          <w:pgSz w:w="11907" w:h="16840" w:code="9"/>
          <w:pgMar w:top="1396" w:right="1134" w:bottom="1134" w:left="1418" w:header="397" w:footer="340" w:gutter="0"/>
          <w:cols w:num="2" w:space="709"/>
          <w:titlePg/>
        </w:sectPr>
      </w:pPr>
      <w:r w:rsidRPr="00BF673F">
        <w:rPr>
          <w:b/>
          <w:bCs/>
        </w:rPr>
        <w:lastRenderedPageBreak/>
        <w:t>§ 2.</w:t>
      </w:r>
      <w:r w:rsidR="002B58C0">
        <w:rPr>
          <w:b/>
          <w:bCs/>
        </w:rPr>
        <w:t xml:space="preserve"> </w:t>
      </w:r>
      <w:r w:rsidR="002B58C0">
        <w:rPr>
          <w:bCs/>
        </w:rPr>
        <w:t>Henda lóg kemur í gildi dagin eftir, at hon er kunngjørd.</w:t>
      </w:r>
    </w:p>
    <w:p w:rsidR="0076114F" w:rsidRDefault="0076114F" w:rsidP="00BF673F">
      <w:pPr>
        <w:rPr>
          <w:b/>
          <w:bCs/>
        </w:rPr>
        <w:sectPr w:rsidR="0076114F" w:rsidSect="00BA65CC">
          <w:type w:val="continuous"/>
          <w:pgSz w:w="11907" w:h="16840" w:code="9"/>
          <w:pgMar w:top="1396" w:right="1134" w:bottom="1134" w:left="1418" w:header="397" w:footer="340" w:gutter="0"/>
          <w:cols w:space="708"/>
          <w:titlePg/>
        </w:sectPr>
      </w:pPr>
    </w:p>
    <w:p w:rsidR="00BF673F" w:rsidRDefault="00BF673F" w:rsidP="00BF673F">
      <w:pPr>
        <w:rPr>
          <w:b/>
          <w:bCs/>
        </w:rPr>
      </w:pPr>
    </w:p>
    <w:p w:rsidR="00BF673F" w:rsidRDefault="00BF673F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Cs/>
        </w:rPr>
      </w:pPr>
    </w:p>
    <w:p w:rsidR="00BA65CC" w:rsidRDefault="00BA65CC" w:rsidP="00BF673F">
      <w:pPr>
        <w:rPr>
          <w:b/>
          <w:bCs/>
        </w:rPr>
      </w:pPr>
    </w:p>
    <w:p w:rsidR="00BA65CC" w:rsidRDefault="00BA65CC" w:rsidP="00BF673F">
      <w:pPr>
        <w:rPr>
          <w:b/>
          <w:bCs/>
        </w:rPr>
        <w:sectPr w:rsidR="00BA65CC" w:rsidSect="00BA65CC">
          <w:type w:val="continuous"/>
          <w:pgSz w:w="11907" w:h="16840" w:code="9"/>
          <w:pgMar w:top="1396" w:right="1134" w:bottom="1134" w:left="1418" w:header="397" w:footer="340" w:gutter="0"/>
          <w:cols w:space="708"/>
          <w:titlePg/>
        </w:sectPr>
      </w:pPr>
    </w:p>
    <w:p w:rsidR="00BF673F" w:rsidRDefault="00BF673F" w:rsidP="00BF673F">
      <w:pPr>
        <w:rPr>
          <w:b/>
          <w:bCs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FE3DE7" w:rsidRDefault="00FE3DE7" w:rsidP="00BF673F">
      <w:pPr>
        <w:jc w:val="both"/>
        <w:rPr>
          <w:sz w:val="28"/>
        </w:rPr>
      </w:pPr>
    </w:p>
    <w:p w:rsidR="00BF673F" w:rsidRDefault="00BF673F" w:rsidP="00BF673F">
      <w:pPr>
        <w:jc w:val="both"/>
        <w:rPr>
          <w:sz w:val="28"/>
        </w:rPr>
      </w:pPr>
      <w:r>
        <w:rPr>
          <w:sz w:val="28"/>
        </w:rPr>
        <w:lastRenderedPageBreak/>
        <w:t>Viðmerkingar til lógaruppskotið</w:t>
      </w:r>
    </w:p>
    <w:p w:rsidR="00BF673F" w:rsidRDefault="00BF673F" w:rsidP="00BF673F">
      <w:pPr>
        <w:jc w:val="both"/>
        <w:rPr>
          <w:b/>
        </w:rPr>
      </w:pPr>
    </w:p>
    <w:p w:rsidR="00BF673F" w:rsidRPr="00BF673F" w:rsidRDefault="00EF0D9D" w:rsidP="00BF673F">
      <w:pPr>
        <w:pStyle w:val="Overskrif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Kap. 1.</w:t>
      </w:r>
      <w:r w:rsidR="00BF673F" w:rsidRPr="00BF673F">
        <w:rPr>
          <w:rFonts w:ascii="Times New Roman" w:hAnsi="Times New Roman" w:cs="Times New Roman"/>
          <w:sz w:val="24"/>
          <w:szCs w:val="24"/>
        </w:rPr>
        <w:t xml:space="preserve"> Almennar viðmerkingar</w:t>
      </w:r>
    </w:p>
    <w:p w:rsidR="00BF673F" w:rsidRDefault="00BF673F" w:rsidP="00BF673F">
      <w:pPr>
        <w:jc w:val="both"/>
        <w:rPr>
          <w:b/>
        </w:rPr>
      </w:pPr>
    </w:p>
    <w:p w:rsidR="00BF673F" w:rsidRDefault="00BF673F" w:rsidP="00BF673F">
      <w:pPr>
        <w:numPr>
          <w:ilvl w:val="0"/>
          <w:numId w:val="2"/>
        </w:numPr>
        <w:rPr>
          <w:b/>
        </w:rPr>
      </w:pPr>
      <w:r>
        <w:rPr>
          <w:b/>
        </w:rPr>
        <w:t>Endamálið við lógini</w:t>
      </w:r>
    </w:p>
    <w:p w:rsidR="00174C96" w:rsidRDefault="00174C96" w:rsidP="00174C96">
      <w:pPr>
        <w:ind w:left="360"/>
      </w:pPr>
      <w:r w:rsidRPr="00174C96">
        <w:t>Løgtingslógin um trygging móti avleiðingunum av arbeiðsskaða</w:t>
      </w:r>
      <w:r>
        <w:t xml:space="preserve"> (arbeiðsskaðatryggingarlógin) er frá 2009</w:t>
      </w:r>
      <w:r w:rsidR="00435206">
        <w:t>.</w:t>
      </w:r>
    </w:p>
    <w:p w:rsidR="00435206" w:rsidRDefault="00435206" w:rsidP="00174C96">
      <w:pPr>
        <w:ind w:left="360"/>
      </w:pPr>
    </w:p>
    <w:p w:rsidR="00435206" w:rsidRDefault="00A95911" w:rsidP="00174C96">
      <w:pPr>
        <w:ind w:left="360"/>
      </w:pPr>
      <w:r>
        <w:t>A</w:t>
      </w:r>
      <w:r w:rsidR="00773E35">
        <w:t>rbeitt</w:t>
      </w:r>
      <w:r>
        <w:t xml:space="preserve"> varð</w:t>
      </w:r>
      <w:r w:rsidR="00773E35">
        <w:t xml:space="preserve"> leingi við uppskoti um trygging m</w:t>
      </w:r>
      <w:r w:rsidR="00837B6F">
        <w:t>ó</w:t>
      </w:r>
      <w:r w:rsidR="00773E35">
        <w:t>ti avleiðingunum</w:t>
      </w:r>
      <w:r w:rsidR="00837B6F">
        <w:t xml:space="preserve"> av arbeiðsskaða</w:t>
      </w:r>
      <w:r w:rsidR="0056048E">
        <w:t>, sum skuldi avloysa tágaldandi</w:t>
      </w:r>
      <w:r>
        <w:t xml:space="preserve"> vanlukkutryggingarlóg frá 1966. Tann lógin </w:t>
      </w:r>
      <w:r w:rsidR="0056048E">
        <w:t>var skipað á annan hátt og</w:t>
      </w:r>
      <w:r w:rsidR="003A6311">
        <w:t xml:space="preserve"> við tað</w:t>
      </w:r>
      <w:r w:rsidR="003D126B">
        <w:t>,</w:t>
      </w:r>
      <w:r w:rsidR="003A6311">
        <w:t xml:space="preserve"> at lógin </w:t>
      </w:r>
      <w:r w:rsidR="0056048E">
        <w:t>ikki</w:t>
      </w:r>
      <w:r w:rsidR="003A6311">
        <w:t xml:space="preserve"> var</w:t>
      </w:r>
      <w:r w:rsidR="0056048E">
        <w:t xml:space="preserve"> mett at vera tíðarhóskandi</w:t>
      </w:r>
      <w:r w:rsidR="003A6311">
        <w:t xml:space="preserve">, </w:t>
      </w:r>
      <w:r w:rsidR="0056048E">
        <w:t>var tørvur á dagførdari arbeiðsskaðatryggingarlóg, sum bæði umfataði arbeiðsskaða og vinnusjúku.</w:t>
      </w:r>
      <w:r w:rsidR="00773E35">
        <w:t xml:space="preserve"> </w:t>
      </w:r>
      <w:r w:rsidR="00435206">
        <w:t xml:space="preserve"> </w:t>
      </w:r>
    </w:p>
    <w:p w:rsidR="00174C96" w:rsidRDefault="00174C96" w:rsidP="00174C96">
      <w:pPr>
        <w:ind w:left="360"/>
      </w:pPr>
    </w:p>
    <w:p w:rsidR="00D66EE2" w:rsidRDefault="0056048E" w:rsidP="00174C96">
      <w:pPr>
        <w:ind w:left="360"/>
      </w:pPr>
      <w:r>
        <w:t>Lógin er í tveimum pørtum, har tann eini parturin</w:t>
      </w:r>
      <w:r w:rsidR="003D126B">
        <w:t>,</w:t>
      </w:r>
      <w:r>
        <w:t xml:space="preserve"> sum viðvíkur arbeiðsskaða</w:t>
      </w:r>
      <w:r w:rsidR="003D126B">
        <w:t>,</w:t>
      </w:r>
      <w:r>
        <w:t xml:space="preserve"> haruppií lyftiskaðum, hevur arbeiðsgevarin skyldu</w:t>
      </w:r>
      <w:r w:rsidR="003A6311">
        <w:t xml:space="preserve"> til</w:t>
      </w:r>
      <w:r>
        <w:t xml:space="preserve"> at tryggja váðan í einum tryggingarfelagi. Fyri hin partin</w:t>
      </w:r>
      <w:r w:rsidR="003D126B">
        <w:t>,</w:t>
      </w:r>
      <w:r>
        <w:t xml:space="preserve"> sum viðvíkur vinnusj</w:t>
      </w:r>
      <w:r w:rsidR="00D66EE2">
        <w:t>úkur, skulu allir arbeiðsgevarar, haruppií landið</w:t>
      </w:r>
      <w:r w:rsidR="003D126B">
        <w:t>,</w:t>
      </w:r>
      <w:r w:rsidR="00D66EE2">
        <w:t xml:space="preserve"> rinda til ein grunn at svara fyri vinnusjúkum</w:t>
      </w:r>
      <w:r w:rsidR="003D126B">
        <w:t>,</w:t>
      </w:r>
      <w:r w:rsidR="00D66EE2">
        <w:t xml:space="preserve"> sum eru góðkendar sum slíkar sambært kunngerð, sum landsstýrismaðurin ger við tilmæli frá Vanlukkutryggingarráðnum.</w:t>
      </w:r>
    </w:p>
    <w:p w:rsidR="00D66EE2" w:rsidRDefault="00D66EE2" w:rsidP="00174C96">
      <w:pPr>
        <w:ind w:left="360"/>
      </w:pPr>
    </w:p>
    <w:p w:rsidR="00D66EE2" w:rsidRDefault="00D66EE2" w:rsidP="00174C96">
      <w:pPr>
        <w:ind w:left="360"/>
      </w:pPr>
      <w:r>
        <w:t>Veitingarnar frá arbeiðsskaðatryggingini og frá Vinnusjúkugrunninum eru tær somu</w:t>
      </w:r>
      <w:r w:rsidR="00423FBA">
        <w:t>,</w:t>
      </w:r>
      <w:r>
        <w:t xml:space="preserve"> t</w:t>
      </w:r>
      <w:r w:rsidR="00423FBA">
        <w:t xml:space="preserve">að </w:t>
      </w:r>
      <w:r>
        <w:t>v</w:t>
      </w:r>
      <w:r w:rsidR="00423FBA">
        <w:t xml:space="preserve">il </w:t>
      </w:r>
      <w:r>
        <w:t>s</w:t>
      </w:r>
      <w:r w:rsidR="00423FBA">
        <w:t>iga</w:t>
      </w:r>
      <w:r>
        <w:t xml:space="preserve"> útreiðslur til hjálpitól, sjúkuviðgerð v.m., dagpeningur, endurgjald fyri mist vinnuføri, endurgjald fyri varandi mein, skiftisveiti</w:t>
      </w:r>
      <w:r w:rsidR="003A6311">
        <w:t>ng til eftirsitandi hjúnafelaga og</w:t>
      </w:r>
      <w:r>
        <w:t xml:space="preserve"> endurgjald fyri miss av </w:t>
      </w:r>
      <w:r w:rsidR="00162946">
        <w:t>uppihaldara.</w:t>
      </w:r>
    </w:p>
    <w:p w:rsidR="00D66EE2" w:rsidRDefault="00D66EE2" w:rsidP="00174C96">
      <w:pPr>
        <w:ind w:left="360"/>
      </w:pPr>
    </w:p>
    <w:p w:rsidR="00174C96" w:rsidRDefault="00602A87" w:rsidP="00174C96">
      <w:pPr>
        <w:ind w:left="360"/>
      </w:pPr>
      <w:r>
        <w:t xml:space="preserve">Royndir av málsviðgerðini eftir arbeiðsskaðatryggingarlógini hava víst á ógreiðar ásetingar viðv. § 10 um vinnusjúkur, sum við hesum uppskoti verður bøtt um. </w:t>
      </w:r>
      <w:r w:rsidR="00776134">
        <w:t xml:space="preserve"> </w:t>
      </w:r>
    </w:p>
    <w:p w:rsidR="00174C96" w:rsidRDefault="00174C96" w:rsidP="00174C96">
      <w:pPr>
        <w:ind w:left="360"/>
      </w:pPr>
    </w:p>
    <w:p w:rsidR="00C37D64" w:rsidRDefault="00F53620" w:rsidP="00602A87">
      <w:pPr>
        <w:ind w:left="284"/>
        <w:rPr>
          <w:bCs/>
        </w:rPr>
      </w:pPr>
      <w:r>
        <w:rPr>
          <w:bCs/>
        </w:rPr>
        <w:t>Eisini eru við hesum uppskoti neyvari ásetingar um, frá hvørjum degi 1 ára freistin fyri fráboðan av møguligum arbeiðsskaða</w:t>
      </w:r>
      <w:r w:rsidR="00162946">
        <w:rPr>
          <w:bCs/>
        </w:rPr>
        <w:t>,</w:t>
      </w:r>
      <w:r>
        <w:rPr>
          <w:bCs/>
        </w:rPr>
        <w:t xml:space="preserve"> </w:t>
      </w:r>
      <w:r w:rsidR="003A6311">
        <w:rPr>
          <w:bCs/>
        </w:rPr>
        <w:t xml:space="preserve">skal verða gjørd. </w:t>
      </w:r>
      <w:r w:rsidR="00C37D64">
        <w:rPr>
          <w:bCs/>
        </w:rPr>
        <w:t xml:space="preserve"> </w:t>
      </w:r>
    </w:p>
    <w:p w:rsidR="00776134" w:rsidRDefault="00776134" w:rsidP="00174C96">
      <w:pPr>
        <w:ind w:left="360"/>
      </w:pPr>
    </w:p>
    <w:p w:rsidR="00174C96" w:rsidRDefault="00F53620" w:rsidP="00FB0732">
      <w:pPr>
        <w:ind w:left="284"/>
      </w:pPr>
      <w:r>
        <w:t xml:space="preserve">Ásetingar </w:t>
      </w:r>
      <w:r w:rsidR="00776134">
        <w:t xml:space="preserve">í </w:t>
      </w:r>
      <w:r w:rsidR="00174C96">
        <w:t xml:space="preserve"> lógini</w:t>
      </w:r>
      <w:r>
        <w:t xml:space="preserve"> um býti av kostnaði</w:t>
      </w:r>
      <w:r w:rsidR="00174C96">
        <w:t xml:space="preserve"> hava</w:t>
      </w:r>
      <w:r>
        <w:t xml:space="preserve"> laga</w:t>
      </w:r>
      <w:r w:rsidR="00423FBA">
        <w:t>ð</w:t>
      </w:r>
      <w:r>
        <w:t xml:space="preserve"> seg soleiðis, at tryggingarfeløgini</w:t>
      </w:r>
      <w:r w:rsidR="00775A85">
        <w:t xml:space="preserve"> rinda  fyri sakkøna hjálp v.m. og raksturin av Vanlukkutryggingarráðnum. Hetta uppskot áleggur Vinnusjúkugrunninum og landinum at rinda sín lutfalsliga part. </w:t>
      </w:r>
    </w:p>
    <w:p w:rsidR="00174C96" w:rsidRDefault="00174C96" w:rsidP="00174C96">
      <w:pPr>
        <w:ind w:left="360"/>
      </w:pPr>
    </w:p>
    <w:p w:rsidR="00174C96" w:rsidRDefault="00162946" w:rsidP="00FB0732">
      <w:pPr>
        <w:ind w:left="284"/>
      </w:pPr>
      <w:r>
        <w:t xml:space="preserve">Lógin áleggur landsstýrismanninum at áseta reglur í sambandi </w:t>
      </w:r>
      <w:r w:rsidR="00FB0732">
        <w:t xml:space="preserve">við, </w:t>
      </w:r>
      <w:r>
        <w:t>hvussu árslønin hjá løntakara skal roknast og somuleiðis er í lógini álagt landsstýrismanninum at javna</w:t>
      </w:r>
      <w:r w:rsidR="00FB0732">
        <w:t xml:space="preserve"> upphæddir, sum verða veittar í sambandi við arbeiðsskaða ella vinnusjúku.</w:t>
      </w:r>
      <w:r w:rsidR="00776134">
        <w:t xml:space="preserve"> </w:t>
      </w:r>
    </w:p>
    <w:p w:rsidR="00174C96" w:rsidRDefault="00174C96" w:rsidP="00174C96">
      <w:pPr>
        <w:ind w:left="360"/>
      </w:pPr>
    </w:p>
    <w:p w:rsidR="00A95911" w:rsidRDefault="00FB0732" w:rsidP="00FB0732">
      <w:pPr>
        <w:ind w:left="284"/>
      </w:pPr>
      <w:r>
        <w:t>Ásannandi, at Vanlukkutryggingarráðið viðger øll skaðamál, harundir tekur avgerð</w:t>
      </w:r>
      <w:r w:rsidR="003A6311">
        <w:t>,</w:t>
      </w:r>
      <w:r>
        <w:t xml:space="preserve"> um ein tilburður er fevndur av lógini, somuleiðis tekur avgerð um</w:t>
      </w:r>
      <w:r w:rsidR="00423FBA">
        <w:t>,</w:t>
      </w:r>
      <w:r>
        <w:t xml:space="preserve"> hvørja veiting</w:t>
      </w:r>
      <w:r w:rsidR="003A6311">
        <w:t>,</w:t>
      </w:r>
      <w:r>
        <w:t xml:space="preserve"> tann sum hevur verið fyri arbeiðsskaða ella vinnusjúku</w:t>
      </w:r>
      <w:r w:rsidR="00423FBA">
        <w:t>,</w:t>
      </w:r>
      <w:r>
        <w:t xml:space="preserve"> skal hava, </w:t>
      </w:r>
      <w:r w:rsidR="00A95911">
        <w:t>verður mett, at Vanlukkutryggingarráðið er best skikkað at áseta reglur um ársløn og at javna upphæddir.</w:t>
      </w:r>
    </w:p>
    <w:p w:rsidR="00A95911" w:rsidRDefault="00A95911" w:rsidP="00FB0732">
      <w:pPr>
        <w:ind w:left="284"/>
      </w:pPr>
    </w:p>
    <w:p w:rsidR="00174C96" w:rsidRPr="00174C96" w:rsidRDefault="00A95911" w:rsidP="00FB0732">
      <w:pPr>
        <w:ind w:left="284"/>
      </w:pPr>
      <w:r>
        <w:t>Tí verður skotið upp, at skyldan hjá landsstýrismanninum viðv. ásetan av ársløn og javnan av upphæddum verður flutt til Vanlukkutryggingarráðið. Sama skipan er galdandi eftir donsku lógini um arbejdsskadeforsikring.</w:t>
      </w:r>
      <w:r w:rsidR="00FB0732">
        <w:t xml:space="preserve"> </w:t>
      </w:r>
    </w:p>
    <w:p w:rsidR="00BF673F" w:rsidRDefault="00BF673F" w:rsidP="00BF673F">
      <w:pPr>
        <w:rPr>
          <w:b/>
        </w:rPr>
      </w:pPr>
    </w:p>
    <w:p w:rsidR="003A6311" w:rsidRDefault="003A6311" w:rsidP="00BF673F">
      <w:pPr>
        <w:pStyle w:val="Kapitelnummer"/>
        <w:spacing w:before="0"/>
        <w:jc w:val="left"/>
        <w:rPr>
          <w:lang w:val="fo-FO"/>
        </w:rPr>
      </w:pPr>
    </w:p>
    <w:p w:rsidR="00880089" w:rsidRPr="00880089" w:rsidRDefault="00880089" w:rsidP="00880089"/>
    <w:p w:rsidR="00BF673F" w:rsidRPr="00EF0D9D" w:rsidRDefault="00BF673F" w:rsidP="00BF673F">
      <w:pPr>
        <w:pStyle w:val="Kapitelnummer"/>
        <w:spacing w:before="0"/>
        <w:jc w:val="left"/>
        <w:rPr>
          <w:b w:val="0"/>
          <w:lang w:val="fo-FO"/>
        </w:rPr>
      </w:pPr>
      <w:r w:rsidRPr="00EF0D9D">
        <w:rPr>
          <w:lang w:val="fo-FO"/>
        </w:rPr>
        <w:lastRenderedPageBreak/>
        <w:t>Kap. 2</w:t>
      </w:r>
      <w:r w:rsidR="00EF0D9D">
        <w:rPr>
          <w:lang w:val="fo-FO"/>
        </w:rPr>
        <w:t>.</w:t>
      </w:r>
      <w:r w:rsidRPr="00EF0D9D">
        <w:rPr>
          <w:lang w:val="fo-FO"/>
        </w:rPr>
        <w:t xml:space="preserve"> Avleiðingar av uppskotinum</w:t>
      </w:r>
    </w:p>
    <w:p w:rsidR="00BF673F" w:rsidRDefault="00BF673F" w:rsidP="00BF673F">
      <w:pPr>
        <w:rPr>
          <w:b/>
        </w:rPr>
      </w:pPr>
    </w:p>
    <w:p w:rsidR="00BF673F" w:rsidRPr="00EF0D9D" w:rsidRDefault="00BF673F" w:rsidP="00BF673F">
      <w:pPr>
        <w:pStyle w:val="Kapiteloverskrift"/>
        <w:numPr>
          <w:ilvl w:val="0"/>
          <w:numId w:val="1"/>
        </w:numPr>
        <w:jc w:val="left"/>
        <w:rPr>
          <w:lang w:val="fo-FO"/>
        </w:rPr>
      </w:pPr>
      <w:r w:rsidRPr="00EF0D9D">
        <w:rPr>
          <w:lang w:val="fo-FO"/>
        </w:rPr>
        <w:t>Fíggjarligar avleiðingar</w:t>
      </w:r>
    </w:p>
    <w:p w:rsidR="00BF673F" w:rsidRDefault="00BF673F" w:rsidP="00BF673F"/>
    <w:p w:rsidR="00BF673F" w:rsidRDefault="00BF673F" w:rsidP="00BF673F">
      <w:pPr>
        <w:ind w:right="567"/>
        <w:jc w:val="both"/>
      </w:pPr>
      <w:r>
        <w:rPr>
          <w:b/>
        </w:rPr>
        <w:t>A. Fyri landið</w:t>
      </w:r>
    </w:p>
    <w:p w:rsidR="00BF673F" w:rsidRDefault="003A6311" w:rsidP="00BF673F">
      <w:pPr>
        <w:ind w:right="567"/>
        <w:jc w:val="both"/>
      </w:pPr>
      <w:r>
        <w:t xml:space="preserve">Uppskotið hevur avmarkaðar </w:t>
      </w:r>
      <w:r w:rsidR="00A63EE6">
        <w:t>fíggjarligar avleiðingar</w:t>
      </w:r>
      <w:r>
        <w:t xml:space="preserve"> fyri landi</w:t>
      </w:r>
      <w:r w:rsidR="00423FBA">
        <w:t>ð</w:t>
      </w:r>
      <w:r w:rsidR="00A63EE6">
        <w:t>, sum einans kann vera útreiðslur av málsviðgerð hjá Vanlukkutryggingarráðnum av skaðamálum, sum landið ábyrgdast fyri.</w:t>
      </w:r>
    </w:p>
    <w:p w:rsidR="00A63EE6" w:rsidRDefault="00A63EE6" w:rsidP="00BF673F">
      <w:pPr>
        <w:ind w:right="567"/>
        <w:jc w:val="both"/>
      </w:pPr>
    </w:p>
    <w:p w:rsidR="00A63EE6" w:rsidRDefault="00A63EE6" w:rsidP="00BF673F">
      <w:pPr>
        <w:ind w:right="567"/>
        <w:jc w:val="both"/>
      </w:pPr>
      <w:r>
        <w:t>Uppskotið hevur fíggjarligar avleiðingar fyri Vinnusjúkugrunnin, sum eftir uppskotinum kemur at rinda sín lutfalsliga part av málsviðgerð og rakst</w:t>
      </w:r>
      <w:r w:rsidR="00423FBA">
        <w:t>ri</w:t>
      </w:r>
      <w:r>
        <w:t xml:space="preserve"> av Vanlukkutryggingarráðnum. Kostnaðurin er útreiðsluneutralur fyri landskassan, tí peningurin verður rindaður úr grunni, sum arbeiðsmarknaðurin rindar gjald til.</w:t>
      </w:r>
    </w:p>
    <w:p w:rsidR="003A6311" w:rsidRDefault="003A6311" w:rsidP="00BF673F">
      <w:pPr>
        <w:ind w:right="567"/>
        <w:jc w:val="both"/>
      </w:pPr>
    </w:p>
    <w:p w:rsidR="00BF673F" w:rsidRDefault="00BF673F" w:rsidP="00BF673F">
      <w:pPr>
        <w:pStyle w:val="Sidehoved"/>
        <w:tabs>
          <w:tab w:val="clear" w:pos="4819"/>
          <w:tab w:val="clear" w:pos="9638"/>
        </w:tabs>
        <w:rPr>
          <w:b/>
        </w:rPr>
      </w:pPr>
      <w:r>
        <w:rPr>
          <w:b/>
        </w:rPr>
        <w:t>B. Fyri kommunurnar</w:t>
      </w:r>
    </w:p>
    <w:p w:rsidR="00BF673F" w:rsidRDefault="00A63EE6" w:rsidP="00BF673F">
      <w:pPr>
        <w:pStyle w:val="Sidehoved"/>
        <w:tabs>
          <w:tab w:val="clear" w:pos="4819"/>
          <w:tab w:val="clear" w:pos="9638"/>
        </w:tabs>
      </w:pPr>
      <w:r>
        <w:t>Uppskotið hevur ongar fíggjarligar avleiðingar fyri kommunurnar.</w:t>
      </w:r>
    </w:p>
    <w:p w:rsidR="00A63EE6" w:rsidRDefault="00A63EE6" w:rsidP="00BF673F">
      <w:pPr>
        <w:pStyle w:val="Sidehoved"/>
        <w:tabs>
          <w:tab w:val="clear" w:pos="4819"/>
          <w:tab w:val="clear" w:pos="9638"/>
        </w:tabs>
      </w:pPr>
    </w:p>
    <w:p w:rsidR="00BF673F" w:rsidRDefault="00BF673F" w:rsidP="00BF673F">
      <w:pPr>
        <w:pStyle w:val="Sidehoved"/>
        <w:tabs>
          <w:tab w:val="clear" w:pos="4819"/>
          <w:tab w:val="clear" w:pos="9638"/>
        </w:tabs>
        <w:rPr>
          <w:b/>
        </w:rPr>
      </w:pPr>
      <w:r>
        <w:rPr>
          <w:b/>
        </w:rPr>
        <w:t>C. Fyri vinnuna</w:t>
      </w:r>
    </w:p>
    <w:p w:rsidR="00BF673F" w:rsidRDefault="00A63EE6" w:rsidP="00BF673F">
      <w:pPr>
        <w:pStyle w:val="Sidehoved"/>
        <w:tabs>
          <w:tab w:val="clear" w:pos="4819"/>
          <w:tab w:val="clear" w:pos="9638"/>
        </w:tabs>
      </w:pPr>
      <w:r>
        <w:t>Uppskotið hevur ongar fíggjarligar avleiðingar fyri vinnuna.</w:t>
      </w:r>
    </w:p>
    <w:p w:rsidR="00A63EE6" w:rsidRPr="00A63EE6" w:rsidRDefault="00A63EE6" w:rsidP="00BF673F">
      <w:pPr>
        <w:pStyle w:val="Sidehoved"/>
        <w:tabs>
          <w:tab w:val="clear" w:pos="4819"/>
          <w:tab w:val="clear" w:pos="9638"/>
        </w:tabs>
      </w:pPr>
    </w:p>
    <w:p w:rsidR="00BF673F" w:rsidRDefault="00BF673F" w:rsidP="00BF673F">
      <w:pPr>
        <w:numPr>
          <w:ilvl w:val="0"/>
          <w:numId w:val="1"/>
        </w:numPr>
        <w:rPr>
          <w:b/>
        </w:rPr>
      </w:pPr>
      <w:r>
        <w:rPr>
          <w:b/>
        </w:rPr>
        <w:t>Umsitingarligar avleiðingar</w:t>
      </w:r>
    </w:p>
    <w:p w:rsidR="00BF673F" w:rsidRDefault="00BF673F" w:rsidP="00BF673F">
      <w:pPr>
        <w:rPr>
          <w:b/>
        </w:rPr>
      </w:pPr>
      <w:r>
        <w:t xml:space="preserve">Uppskotið hevur </w:t>
      </w:r>
      <w:r w:rsidR="00A63EE6">
        <w:t>einans umsitingarligar avleiðingar fyri Vinnusjúkugrunnin</w:t>
      </w:r>
      <w:r>
        <w:t>.</w:t>
      </w:r>
      <w:r>
        <w:rPr>
          <w:b/>
        </w:rPr>
        <w:t xml:space="preserve"> </w:t>
      </w:r>
    </w:p>
    <w:p w:rsidR="00BF673F" w:rsidRDefault="00BF673F" w:rsidP="00BF673F">
      <w:pPr>
        <w:rPr>
          <w:b/>
        </w:rPr>
      </w:pPr>
    </w:p>
    <w:p w:rsidR="00BF673F" w:rsidRDefault="00BF673F" w:rsidP="00BF673F">
      <w:pPr>
        <w:numPr>
          <w:ilvl w:val="0"/>
          <w:numId w:val="1"/>
        </w:numPr>
        <w:rPr>
          <w:b/>
        </w:rPr>
      </w:pPr>
      <w:r>
        <w:rPr>
          <w:b/>
        </w:rPr>
        <w:t>Umhvørvisavleiðingar</w:t>
      </w:r>
    </w:p>
    <w:p w:rsidR="00BF673F" w:rsidRDefault="00BF673F" w:rsidP="00BF673F">
      <w:pPr>
        <w:pStyle w:val="Sidehoved"/>
        <w:tabs>
          <w:tab w:val="clear" w:pos="4819"/>
          <w:tab w:val="clear" w:pos="9638"/>
        </w:tabs>
      </w:pPr>
      <w:r>
        <w:t>Uppskotið hevur ongar umhvørvisavleiðingar.</w:t>
      </w:r>
    </w:p>
    <w:p w:rsidR="00BF673F" w:rsidRDefault="00BF673F" w:rsidP="00BF673F">
      <w:pPr>
        <w:pStyle w:val="Sidehoved"/>
        <w:tabs>
          <w:tab w:val="clear" w:pos="4819"/>
          <w:tab w:val="clear" w:pos="9638"/>
        </w:tabs>
      </w:pPr>
    </w:p>
    <w:p w:rsidR="00BF673F" w:rsidRDefault="00BF673F" w:rsidP="00BF673F">
      <w:pPr>
        <w:numPr>
          <w:ilvl w:val="0"/>
          <w:numId w:val="1"/>
        </w:numPr>
        <w:rPr>
          <w:b/>
        </w:rPr>
      </w:pPr>
      <w:r>
        <w:rPr>
          <w:b/>
        </w:rPr>
        <w:t>Avleiðingar fyri serstøk øki í landinum</w:t>
      </w:r>
    </w:p>
    <w:p w:rsidR="00BF673F" w:rsidRPr="00B44126" w:rsidRDefault="00B44126" w:rsidP="00BF673F">
      <w:r>
        <w:t>Uppskotið hevur ongar avleiðingar fyri serstøk øki í landinum.</w:t>
      </w:r>
    </w:p>
    <w:p w:rsidR="00B44126" w:rsidRDefault="00B44126" w:rsidP="00BF673F">
      <w:pPr>
        <w:rPr>
          <w:b/>
        </w:rPr>
      </w:pPr>
    </w:p>
    <w:p w:rsidR="00BF673F" w:rsidRDefault="00BF673F" w:rsidP="00BF673F">
      <w:pPr>
        <w:numPr>
          <w:ilvl w:val="0"/>
          <w:numId w:val="1"/>
        </w:numPr>
        <w:rPr>
          <w:b/>
        </w:rPr>
      </w:pPr>
      <w:r>
        <w:rPr>
          <w:b/>
        </w:rPr>
        <w:t>Avleiðingar í mun til altjóða avtalur og reglur</w:t>
      </w:r>
    </w:p>
    <w:p w:rsidR="00BF673F" w:rsidRDefault="00BF673F" w:rsidP="00BF673F">
      <w:r>
        <w:t>Uppskotið hevur ongar avleiðingar í mun til altjóða avtalur og reglur.</w:t>
      </w:r>
    </w:p>
    <w:p w:rsidR="00BF673F" w:rsidRDefault="00BF673F" w:rsidP="00BF673F"/>
    <w:p w:rsidR="00BF673F" w:rsidRDefault="00BF673F" w:rsidP="00BF673F">
      <w:pPr>
        <w:numPr>
          <w:ilvl w:val="0"/>
          <w:numId w:val="1"/>
        </w:numPr>
        <w:rPr>
          <w:b/>
        </w:rPr>
      </w:pPr>
      <w:r>
        <w:rPr>
          <w:b/>
        </w:rPr>
        <w:t>Sosialar avleiðingar</w:t>
      </w:r>
    </w:p>
    <w:p w:rsidR="00BF673F" w:rsidRDefault="00BF673F" w:rsidP="00BF673F">
      <w:r>
        <w:t>Uppskotið hevur ongar sosialar avleiðingar.</w:t>
      </w:r>
    </w:p>
    <w:p w:rsidR="00BF673F" w:rsidRDefault="00BF673F" w:rsidP="00BF673F"/>
    <w:p w:rsidR="00BF673F" w:rsidRDefault="00BF673F" w:rsidP="00BF673F">
      <w:pPr>
        <w:rPr>
          <w:b/>
        </w:rPr>
      </w:pPr>
      <w:r>
        <w:rPr>
          <w:b/>
        </w:rPr>
        <w:t>Talva 1: Yvirlit yvir avleiðingar</w:t>
      </w:r>
    </w:p>
    <w:tbl>
      <w:tblPr>
        <w:tblW w:w="0" w:type="auto"/>
        <w:tblInd w:w="60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35"/>
        <w:gridCol w:w="1667"/>
        <w:gridCol w:w="1560"/>
        <w:gridCol w:w="1417"/>
        <w:gridCol w:w="1843"/>
        <w:gridCol w:w="1417"/>
      </w:tblGrid>
      <w:tr w:rsidR="00BF673F">
        <w:tc>
          <w:tcPr>
            <w:tcW w:w="1735" w:type="dxa"/>
          </w:tcPr>
          <w:p w:rsidR="00BF673F" w:rsidRDefault="00BF673F" w:rsidP="00D51512"/>
        </w:tc>
        <w:tc>
          <w:tcPr>
            <w:tcW w:w="1667" w:type="dxa"/>
          </w:tcPr>
          <w:p w:rsidR="00BF673F" w:rsidRDefault="00BF673F" w:rsidP="00D51512">
            <w:r>
              <w:t>Fyri landið/</w:t>
            </w:r>
          </w:p>
          <w:p w:rsidR="00BF673F" w:rsidRDefault="00BF673F" w:rsidP="00D51512">
            <w:r>
              <w:t>landsmyndug-leikar</w:t>
            </w:r>
          </w:p>
        </w:tc>
        <w:tc>
          <w:tcPr>
            <w:tcW w:w="1560" w:type="dxa"/>
          </w:tcPr>
          <w:p w:rsidR="00BF673F" w:rsidRDefault="00BF673F" w:rsidP="00D51512">
            <w:r>
              <w:t>Fyri kommunalar myndugleikar</w:t>
            </w:r>
          </w:p>
        </w:tc>
        <w:tc>
          <w:tcPr>
            <w:tcW w:w="1417" w:type="dxa"/>
          </w:tcPr>
          <w:p w:rsidR="00BF673F" w:rsidRDefault="00BF673F" w:rsidP="00D51512">
            <w:r>
              <w:t>Fyri pláss/øki í landinum</w:t>
            </w:r>
          </w:p>
        </w:tc>
        <w:tc>
          <w:tcPr>
            <w:tcW w:w="1843" w:type="dxa"/>
          </w:tcPr>
          <w:p w:rsidR="00BF673F" w:rsidRDefault="00BF673F" w:rsidP="00D51512">
            <w:r>
              <w:t>Fyri ávísar samfelagsbólkar/ felagsskapir</w:t>
            </w:r>
          </w:p>
        </w:tc>
        <w:tc>
          <w:tcPr>
            <w:tcW w:w="1417" w:type="dxa"/>
          </w:tcPr>
          <w:p w:rsidR="00BF673F" w:rsidRDefault="00BF673F" w:rsidP="00D51512">
            <w:r>
              <w:t>Fyri vinnuna</w:t>
            </w:r>
          </w:p>
        </w:tc>
      </w:tr>
      <w:tr w:rsidR="00BF673F">
        <w:tc>
          <w:tcPr>
            <w:tcW w:w="1735" w:type="dxa"/>
          </w:tcPr>
          <w:p w:rsidR="00BF673F" w:rsidRDefault="00BF673F" w:rsidP="00D51512">
            <w:r>
              <w:t>Fíggjarligar/ búskaparligar avleiðingar</w:t>
            </w:r>
          </w:p>
        </w:tc>
        <w:tc>
          <w:tcPr>
            <w:tcW w:w="166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560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41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843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41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</w:tr>
      <w:tr w:rsidR="00BF673F">
        <w:tc>
          <w:tcPr>
            <w:tcW w:w="1735" w:type="dxa"/>
          </w:tcPr>
          <w:p w:rsidR="00BF673F" w:rsidRDefault="00BF673F" w:rsidP="00D51512">
            <w:pPr>
              <w:rPr>
                <w:lang w:val="de-DE"/>
              </w:rPr>
            </w:pPr>
            <w:r>
              <w:rPr>
                <w:lang w:val="de-DE"/>
              </w:rPr>
              <w:t>Umsitingarligar avleiðingar</w:t>
            </w:r>
          </w:p>
        </w:tc>
        <w:tc>
          <w:tcPr>
            <w:tcW w:w="166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560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41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843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41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</w:tr>
      <w:tr w:rsidR="00BF673F">
        <w:tc>
          <w:tcPr>
            <w:tcW w:w="1735" w:type="dxa"/>
          </w:tcPr>
          <w:p w:rsidR="00BF673F" w:rsidRDefault="00BF673F" w:rsidP="00D51512">
            <w:pPr>
              <w:rPr>
                <w:lang w:val="de-DE"/>
              </w:rPr>
            </w:pPr>
            <w:r>
              <w:rPr>
                <w:lang w:val="de-DE"/>
              </w:rPr>
              <w:t>Umhvørvisligar avleiðingar</w:t>
            </w:r>
          </w:p>
        </w:tc>
        <w:tc>
          <w:tcPr>
            <w:tcW w:w="166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560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41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843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41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</w:tr>
      <w:tr w:rsidR="00BF673F">
        <w:tc>
          <w:tcPr>
            <w:tcW w:w="1735" w:type="dxa"/>
          </w:tcPr>
          <w:p w:rsidR="00BF673F" w:rsidRDefault="00BF673F" w:rsidP="00D51512">
            <w:pPr>
              <w:rPr>
                <w:lang w:val="de-DE"/>
              </w:rPr>
            </w:pPr>
            <w:r>
              <w:rPr>
                <w:lang w:val="de-DE"/>
              </w:rPr>
              <w:t>Avleiðingar í mun til altjóða avtalur og reglur</w:t>
            </w:r>
          </w:p>
        </w:tc>
        <w:tc>
          <w:tcPr>
            <w:tcW w:w="166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560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41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843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417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</w:tr>
      <w:tr w:rsidR="00BF673F" w:rsidTr="00EF0D9D">
        <w:tc>
          <w:tcPr>
            <w:tcW w:w="1735" w:type="dxa"/>
          </w:tcPr>
          <w:p w:rsidR="00BF673F" w:rsidRDefault="00BF673F" w:rsidP="00D51512">
            <w:pPr>
              <w:rPr>
                <w:lang w:val="de-DE"/>
              </w:rPr>
            </w:pPr>
            <w:r>
              <w:rPr>
                <w:lang w:val="de-DE"/>
              </w:rPr>
              <w:t xml:space="preserve">Sosialar </w:t>
            </w:r>
            <w:r>
              <w:rPr>
                <w:lang w:val="de-DE"/>
              </w:rPr>
              <w:lastRenderedPageBreak/>
              <w:t xml:space="preserve">avleiðingar </w:t>
            </w:r>
          </w:p>
        </w:tc>
        <w:tc>
          <w:tcPr>
            <w:tcW w:w="1667" w:type="dxa"/>
            <w:shd w:val="clear" w:color="FFFFFF" w:fill="C0C0C0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</w:p>
        </w:tc>
        <w:tc>
          <w:tcPr>
            <w:tcW w:w="1560" w:type="dxa"/>
            <w:shd w:val="clear" w:color="FFFFFF" w:fill="C0C0C0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</w:p>
        </w:tc>
        <w:tc>
          <w:tcPr>
            <w:tcW w:w="1843" w:type="dxa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Nei</w:t>
            </w:r>
          </w:p>
        </w:tc>
        <w:tc>
          <w:tcPr>
            <w:tcW w:w="1417" w:type="dxa"/>
            <w:shd w:val="clear" w:color="FFFFFF" w:fill="C0C0C0"/>
            <w:vAlign w:val="center"/>
          </w:tcPr>
          <w:p w:rsidR="00BF673F" w:rsidRDefault="00BF673F" w:rsidP="00D51512">
            <w:pPr>
              <w:jc w:val="center"/>
              <w:rPr>
                <w:lang w:val="de-DE"/>
              </w:rPr>
            </w:pPr>
          </w:p>
        </w:tc>
      </w:tr>
    </w:tbl>
    <w:p w:rsidR="00BF673F" w:rsidRDefault="00BF673F" w:rsidP="00BF673F">
      <w:pPr>
        <w:rPr>
          <w:lang w:val="de-DE"/>
        </w:rPr>
      </w:pPr>
    </w:p>
    <w:p w:rsidR="00BF673F" w:rsidRDefault="00BF673F" w:rsidP="00BF673F">
      <w:pPr>
        <w:ind w:right="567"/>
        <w:jc w:val="both"/>
        <w:rPr>
          <w:b/>
          <w:lang w:val="de-DE"/>
        </w:rPr>
      </w:pPr>
    </w:p>
    <w:p w:rsidR="00BF673F" w:rsidRDefault="00BF673F" w:rsidP="00BF673F">
      <w:pPr>
        <w:ind w:right="567"/>
        <w:jc w:val="both"/>
        <w:rPr>
          <w:b/>
          <w:lang w:val="de-DE"/>
        </w:rPr>
      </w:pPr>
      <w:r>
        <w:rPr>
          <w:b/>
          <w:lang w:val="de-DE"/>
        </w:rPr>
        <w:t>Kap. 3</w:t>
      </w:r>
      <w:r w:rsidR="00EF0D9D">
        <w:rPr>
          <w:b/>
          <w:lang w:val="de-DE"/>
        </w:rPr>
        <w:t>.</w:t>
      </w:r>
      <w:r>
        <w:rPr>
          <w:b/>
          <w:lang w:val="de-DE"/>
        </w:rPr>
        <w:t xml:space="preserve"> </w:t>
      </w:r>
      <w:r w:rsidR="00EF0D9D">
        <w:rPr>
          <w:b/>
          <w:lang w:val="de-DE"/>
        </w:rPr>
        <w:t>Serligar viðmerkingar</w:t>
      </w:r>
    </w:p>
    <w:p w:rsidR="00BF673F" w:rsidRDefault="00BF673F" w:rsidP="00BF673F">
      <w:pPr>
        <w:ind w:right="567"/>
        <w:jc w:val="both"/>
        <w:rPr>
          <w:b/>
          <w:lang w:val="de-DE"/>
        </w:rPr>
      </w:pPr>
    </w:p>
    <w:p w:rsidR="00BF673F" w:rsidRDefault="00BF673F" w:rsidP="00BF673F">
      <w:pPr>
        <w:ind w:right="567"/>
        <w:jc w:val="both"/>
        <w:rPr>
          <w:b/>
        </w:rPr>
      </w:pPr>
      <w:r>
        <w:rPr>
          <w:b/>
        </w:rPr>
        <w:t>§ 1:</w:t>
      </w:r>
    </w:p>
    <w:p w:rsidR="00B65DA0" w:rsidRDefault="00B65DA0" w:rsidP="00BF673F">
      <w:pPr>
        <w:ind w:right="567"/>
        <w:jc w:val="both"/>
        <w:rPr>
          <w:b/>
        </w:rPr>
      </w:pPr>
    </w:p>
    <w:p w:rsidR="00B65DA0" w:rsidRDefault="00775A85" w:rsidP="00BF673F">
      <w:pPr>
        <w:ind w:right="567"/>
        <w:jc w:val="both"/>
      </w:pPr>
      <w:r>
        <w:rPr>
          <w:b/>
        </w:rPr>
        <w:t>Til n</w:t>
      </w:r>
      <w:r w:rsidR="00B65DA0">
        <w:rPr>
          <w:b/>
        </w:rPr>
        <w:t xml:space="preserve">r. 1). </w:t>
      </w:r>
      <w:r w:rsidR="00B65DA0" w:rsidRPr="00B65DA0">
        <w:t xml:space="preserve">§ 10 </w:t>
      </w:r>
      <w:r w:rsidR="00B65DA0">
        <w:t>í arbeiðsskaðatryggingarlógini svarar til § 10 í donsku arbejdsskadesforsikringsloven frá 1994. Stk. 3 eigur at samsvara við § 10, stk. 2 í donsku arbejdsskadesforsikringsloven</w:t>
      </w:r>
      <w:r w:rsidR="00423FBA">
        <w:t xml:space="preserve"> </w:t>
      </w:r>
      <w:r w:rsidR="00B65DA0">
        <w:t xml:space="preserve">frá 1994. Tað er sannlíkt, at eitt mistak í sambandi við umsetingina av donsku lógini er orsøkin til, at orðingarnar ikki samsvara. </w:t>
      </w:r>
    </w:p>
    <w:p w:rsidR="00B65DA0" w:rsidRDefault="00B65DA0" w:rsidP="00BF673F">
      <w:pPr>
        <w:ind w:right="567"/>
        <w:jc w:val="both"/>
      </w:pPr>
    </w:p>
    <w:p w:rsidR="00B65DA0" w:rsidRDefault="00775A85" w:rsidP="00BF673F">
      <w:pPr>
        <w:ind w:right="567"/>
        <w:jc w:val="both"/>
      </w:pPr>
      <w:r>
        <w:rPr>
          <w:b/>
        </w:rPr>
        <w:t>Til n</w:t>
      </w:r>
      <w:r w:rsidR="00B65DA0">
        <w:rPr>
          <w:b/>
        </w:rPr>
        <w:t xml:space="preserve">r. 2). </w:t>
      </w:r>
      <w:r w:rsidR="00B65DA0">
        <w:t>Ásetingin svarar til § 11, stk. 1 í donsku arbejdsskadesforsikringsloven frá 1994. Eftir ásetingini er ein serlig lin próvregla, ið galdandi er fyri viðurkenning av vinnusjúkum í skránni yvir vinnusjúkur. Mett verður tí, at neyðugt er, at ásetingin verður tikin við í arbeiðsskaðatryggingarlógina.</w:t>
      </w:r>
    </w:p>
    <w:p w:rsidR="00B65DA0" w:rsidRDefault="00B65DA0" w:rsidP="00BF673F">
      <w:pPr>
        <w:ind w:right="567"/>
        <w:jc w:val="both"/>
      </w:pPr>
    </w:p>
    <w:p w:rsidR="00B65DA0" w:rsidRDefault="00775A85" w:rsidP="00BF673F">
      <w:pPr>
        <w:ind w:right="567"/>
        <w:jc w:val="both"/>
      </w:pPr>
      <w:r>
        <w:rPr>
          <w:b/>
        </w:rPr>
        <w:t>Til n</w:t>
      </w:r>
      <w:r w:rsidR="00B65DA0">
        <w:rPr>
          <w:b/>
        </w:rPr>
        <w:t>r. 3</w:t>
      </w:r>
      <w:r w:rsidR="00EC5F26">
        <w:rPr>
          <w:b/>
        </w:rPr>
        <w:t xml:space="preserve"> og 4</w:t>
      </w:r>
      <w:r w:rsidR="00B65DA0">
        <w:rPr>
          <w:b/>
        </w:rPr>
        <w:t xml:space="preserve">). </w:t>
      </w:r>
      <w:r w:rsidR="00D571CF">
        <w:t>Broytingin samsvarar við arbeiðsskaðatryggingarlógina í Danmark og er ein neyvlýsing av ásetingini, ið ikki hevur við sær eina broyting av innihaldinum í ásetingini.</w:t>
      </w:r>
    </w:p>
    <w:p w:rsidR="00D571CF" w:rsidRDefault="00D571CF" w:rsidP="00BF673F">
      <w:pPr>
        <w:ind w:right="567"/>
        <w:jc w:val="both"/>
      </w:pPr>
    </w:p>
    <w:p w:rsidR="00D571CF" w:rsidRDefault="00775A85" w:rsidP="00BF673F">
      <w:pPr>
        <w:ind w:right="567"/>
        <w:jc w:val="both"/>
      </w:pPr>
      <w:r>
        <w:rPr>
          <w:b/>
        </w:rPr>
        <w:t>Til nr</w:t>
      </w:r>
      <w:r w:rsidR="00D571CF">
        <w:rPr>
          <w:b/>
        </w:rPr>
        <w:t xml:space="preserve">. </w:t>
      </w:r>
      <w:r w:rsidR="00C516FC">
        <w:rPr>
          <w:b/>
        </w:rPr>
        <w:t>5 og 6</w:t>
      </w:r>
      <w:r w:rsidR="00D571CF">
        <w:rPr>
          <w:b/>
        </w:rPr>
        <w:t xml:space="preserve">).  </w:t>
      </w:r>
      <w:r w:rsidR="00D571CF">
        <w:t>Mett verður, at tað ikki er rímiligt, at tryggingarfeløgini skulu rinda fyri sakkøna hjálp, sum Vanlukkutryggingarráðið leitar sær í vinnusjúkumálum ella í málum, har landið hevur yvirtikið ábyrgdarvandan, t.d. vegleiðandi úttalilsir frá Arbejdsskadesstyrelsen i Danmark ella umsetingar. Mett verður heldur ikki, at tað er rím</w:t>
      </w:r>
      <w:r w:rsidR="00734ABC">
        <w:t>i</w:t>
      </w:r>
      <w:r w:rsidR="00D571CF">
        <w:t>ligt, at bara tryggingarfeløgini skulu rinda fyri raksturin av Vanlukkutryggingarráðnum. Skotið verður tí upp, at Vinnusjúkugrunnurin eisini rindar ein lutfalsligan part av hesum útreiðslum. Neyðugt verður í tí sambandi, at tann í § 27, stk. 5 nevnda kunngerð verður broytt samsvarandi.</w:t>
      </w:r>
    </w:p>
    <w:p w:rsidR="00D571CF" w:rsidRDefault="00D571CF" w:rsidP="00BF673F">
      <w:pPr>
        <w:ind w:right="567"/>
        <w:jc w:val="both"/>
      </w:pPr>
    </w:p>
    <w:p w:rsidR="00FA7F23" w:rsidRDefault="00775A85" w:rsidP="00BF673F">
      <w:pPr>
        <w:ind w:right="567"/>
        <w:jc w:val="both"/>
      </w:pPr>
      <w:r>
        <w:rPr>
          <w:b/>
        </w:rPr>
        <w:t>Til nr.</w:t>
      </w:r>
      <w:r w:rsidR="00D571CF">
        <w:rPr>
          <w:b/>
        </w:rPr>
        <w:t xml:space="preserve"> </w:t>
      </w:r>
      <w:r w:rsidR="00EC5F26">
        <w:rPr>
          <w:b/>
        </w:rPr>
        <w:t>7</w:t>
      </w:r>
      <w:r w:rsidR="00C516FC">
        <w:rPr>
          <w:b/>
        </w:rPr>
        <w:t xml:space="preserve"> og 6</w:t>
      </w:r>
      <w:r w:rsidR="00D571CF">
        <w:rPr>
          <w:b/>
        </w:rPr>
        <w:t xml:space="preserve">).  </w:t>
      </w:r>
      <w:r w:rsidR="00D571CF">
        <w:t>Ásetingin í § 28, stk. 3 er eisini galdandi fyri vinnusjúkur, sum verða góðkendar sambært § 10, stk. 3 og 4, og tí eigur ikki bara at ver</w:t>
      </w:r>
      <w:r w:rsidR="00423FBA">
        <w:t>ð</w:t>
      </w:r>
      <w:r w:rsidR="00D571CF">
        <w:t xml:space="preserve">a víst til stk. </w:t>
      </w:r>
      <w:r w:rsidR="00FA7F23">
        <w:t>2 í § 10.</w:t>
      </w:r>
    </w:p>
    <w:p w:rsidR="00FA7F23" w:rsidRDefault="00FA7F23" w:rsidP="00BF673F">
      <w:pPr>
        <w:ind w:right="567"/>
        <w:jc w:val="both"/>
      </w:pPr>
    </w:p>
    <w:p w:rsidR="00FA7F23" w:rsidRDefault="00FA7F23" w:rsidP="00BF673F">
      <w:pPr>
        <w:ind w:right="567"/>
        <w:jc w:val="both"/>
      </w:pPr>
      <w:r w:rsidRPr="00684948">
        <w:rPr>
          <w:color w:val="C00000"/>
        </w:rPr>
        <w:t xml:space="preserve">Sum fylgja av uppskoti til broytingar av § 27 verður </w:t>
      </w:r>
      <w:r w:rsidR="00C37D64" w:rsidRPr="00684948">
        <w:rPr>
          <w:color w:val="C00000"/>
        </w:rPr>
        <w:t>neyðugt</w:t>
      </w:r>
      <w:r w:rsidRPr="00684948">
        <w:rPr>
          <w:color w:val="C00000"/>
        </w:rPr>
        <w:t>, at kunngerð nr. 80 frá 17. Juni 2010 um gjald fyri raksturin av Vanlukkutryggingarráðnum verður broyttur soleiðis, at kunngerðin samsvarar við, at Vinnusjúkugrunnurin eisini lutfalsliga skal gjalda fyri raksturin av Vanlukkutryggingarráðnum</w:t>
      </w:r>
      <w:r>
        <w:t>.</w:t>
      </w:r>
    </w:p>
    <w:p w:rsidR="00FA7F23" w:rsidRDefault="00FA7F23" w:rsidP="00BF673F">
      <w:pPr>
        <w:ind w:right="567"/>
        <w:jc w:val="both"/>
      </w:pPr>
    </w:p>
    <w:p w:rsidR="00734ABC" w:rsidRPr="00684948" w:rsidRDefault="00FA7F23" w:rsidP="00BF673F">
      <w:pPr>
        <w:ind w:right="567"/>
        <w:jc w:val="both"/>
        <w:rPr>
          <w:color w:val="C00000"/>
        </w:rPr>
      </w:pPr>
      <w:r w:rsidRPr="00684948">
        <w:rPr>
          <w:color w:val="C00000"/>
        </w:rPr>
        <w:t>Skotið verður eisini upp, at kunngerð nr. 158 frá 17. desember 2009 um fráboðan av arbeiðsskaðum, harundir vinnusjúkum verður broytt, soleiðis at tað í § 3, stk. 1 í kunngerðini verður skoytt uppí, at: “Fyri vinnusjúkur sbrt. § 10 ella brádliga hendir lyftiskaðar sbrt. § 9 hvílir fráboðanarskyldan eisini á læknum og tannlæknum.” Við hesum verður kunngerðin í samsvari við § 24, stk. 3 í arbeiðsskaðatryggingarlógini.</w:t>
      </w:r>
    </w:p>
    <w:p w:rsidR="00734ABC" w:rsidRDefault="00734ABC" w:rsidP="00BF673F">
      <w:pPr>
        <w:ind w:right="567"/>
        <w:jc w:val="both"/>
      </w:pPr>
    </w:p>
    <w:p w:rsidR="00775A85" w:rsidRPr="00684948" w:rsidRDefault="00734ABC" w:rsidP="00BF673F">
      <w:pPr>
        <w:ind w:right="567"/>
        <w:jc w:val="both"/>
        <w:rPr>
          <w:color w:val="C00000"/>
        </w:rPr>
      </w:pPr>
      <w:r w:rsidRPr="00684948">
        <w:rPr>
          <w:color w:val="C00000"/>
        </w:rPr>
        <w:t>Herumframt hevur Vanlukkutryggingarráðið gjørt av, sambært § 10, stk. 2 í arbeiðsskaðatryggingarlógini, at mæla landsstýrismanninum til at broyta kunngerð nr. 157 frá 17. desember 2009 um skrá yvir vinnusjúkur, soleiðis at fylgiskjølini (skrá yvir vinnusjúkur)</w:t>
      </w:r>
      <w:r w:rsidR="00FA7F23" w:rsidRPr="00684948">
        <w:rPr>
          <w:color w:val="C00000"/>
        </w:rPr>
        <w:t xml:space="preserve"> </w:t>
      </w:r>
      <w:r w:rsidRPr="00684948">
        <w:rPr>
          <w:color w:val="C00000"/>
        </w:rPr>
        <w:t xml:space="preserve">verða broytt soleiðis, at tey samsvara við “bilag 1-3” i “Bekendtgørelse nr. </w:t>
      </w:r>
      <w:r w:rsidRPr="00684948">
        <w:rPr>
          <w:b/>
          <w:color w:val="C00000"/>
        </w:rPr>
        <w:t>1317 af 23. november 2010 om fortegnelse over erhvervsygdomme anmeldt før 1. Januar</w:t>
      </w:r>
      <w:r w:rsidRPr="00684948">
        <w:rPr>
          <w:color w:val="C00000"/>
        </w:rPr>
        <w:t xml:space="preserve"> 2005” hjá Arbejdsskadesstyrelsen. Við hesum koma tær serstøku vinnusjúkur, sum </w:t>
      </w:r>
      <w:r w:rsidRPr="00684948">
        <w:rPr>
          <w:color w:val="C00000"/>
        </w:rPr>
        <w:lastRenderedPageBreak/>
        <w:t>eru tiknar við í vinnusjúkuskránni í Danmark eftir donsku lógini frá 1994, eisini við í vinnusjúkuskránna í Føroyum.</w:t>
      </w:r>
    </w:p>
    <w:p w:rsidR="00D571CF" w:rsidRDefault="00D571CF" w:rsidP="00BF673F">
      <w:pPr>
        <w:ind w:right="567"/>
        <w:jc w:val="both"/>
      </w:pPr>
      <w:r>
        <w:t xml:space="preserve"> </w:t>
      </w:r>
    </w:p>
    <w:p w:rsidR="0070579A" w:rsidRDefault="00775A85" w:rsidP="000A34CB">
      <w:pPr>
        <w:ind w:right="567"/>
        <w:jc w:val="both"/>
      </w:pPr>
      <w:r>
        <w:rPr>
          <w:b/>
        </w:rPr>
        <w:t xml:space="preserve">Til nr. </w:t>
      </w:r>
      <w:r w:rsidR="00EC5F26">
        <w:rPr>
          <w:b/>
        </w:rPr>
        <w:t xml:space="preserve">8). </w:t>
      </w:r>
      <w:r w:rsidR="00EC5F26">
        <w:t>§ 42, stk. 2 hevur áseting um, hvussu árslønin</w:t>
      </w:r>
      <w:r w:rsidR="000A34CB">
        <w:t xml:space="preserve"> hjá tí tryggjaða</w:t>
      </w:r>
      <w:r w:rsidR="00EC5F26">
        <w:t>, sum</w:t>
      </w:r>
      <w:r w:rsidR="000A34CB">
        <w:t xml:space="preserve"> er grundarlag fyri veitan av endurgjaldi fyri mist vinnuføri og fyri miss av uppihaldara, verður roknað. Í árslønini skal roknast virðið av fríum kosti og uppihaldi, umframt virðið av øðrum vøruveitingum og er tað landsstýrismaðurin, sum skal seta nærri regl</w:t>
      </w:r>
      <w:r w:rsidR="00423FBA">
        <w:t>u</w:t>
      </w:r>
      <w:r w:rsidR="000A34CB">
        <w:t>r. Mett  verður, at ásetan av árslønini er ein partur av tí samlaðu met</w:t>
      </w:r>
      <w:r w:rsidR="00423FBA">
        <w:t>ingini</w:t>
      </w:r>
      <w:r w:rsidR="000A34CB">
        <w:t xml:space="preserve"> av einum skaðamáli og sum Vanlukkutryggingarráðið hóskandi betur kann taka </w:t>
      </w:r>
      <w:r w:rsidR="0097311D">
        <w:t xml:space="preserve">støðu til og </w:t>
      </w:r>
      <w:r w:rsidR="000A34CB">
        <w:t>avgerð um</w:t>
      </w:r>
      <w:r w:rsidR="0097311D">
        <w:t>. Tí verður skotið upp</w:t>
      </w:r>
      <w:r w:rsidR="00423FBA">
        <w:t>,</w:t>
      </w:r>
      <w:r w:rsidR="0097311D">
        <w:t xml:space="preserve"> at tað ikki er landsstýrismaðurin sum ásetir nærri regl</w:t>
      </w:r>
      <w:r w:rsidR="00423FBA">
        <w:t>u</w:t>
      </w:r>
      <w:r w:rsidR="0097311D">
        <w:t>r í sambandi við hvussu árslønin verður roknað, men í</w:t>
      </w:r>
      <w:r w:rsidR="00423FBA">
        <w:t xml:space="preserve"> </w:t>
      </w:r>
      <w:r w:rsidR="0097311D">
        <w:t>staðin Vanlukkutryggingarráðið.</w:t>
      </w:r>
    </w:p>
    <w:p w:rsidR="0070579A" w:rsidRDefault="0070579A" w:rsidP="000A34CB">
      <w:pPr>
        <w:ind w:right="567"/>
        <w:jc w:val="both"/>
      </w:pPr>
    </w:p>
    <w:p w:rsidR="00B13AFA" w:rsidRDefault="00162946" w:rsidP="00B13AFA">
      <w:pPr>
        <w:ind w:right="567"/>
        <w:jc w:val="both"/>
      </w:pPr>
      <w:r>
        <w:rPr>
          <w:b/>
        </w:rPr>
        <w:t>Til n</w:t>
      </w:r>
      <w:r w:rsidR="0070579A">
        <w:rPr>
          <w:b/>
        </w:rPr>
        <w:t xml:space="preserve">r. 9). </w:t>
      </w:r>
      <w:r w:rsidR="00B13AFA">
        <w:rPr>
          <w:b/>
        </w:rPr>
        <w:t xml:space="preserve"> </w:t>
      </w:r>
      <w:r w:rsidR="00B13AFA" w:rsidRPr="00B13AFA">
        <w:t>§ 43, stk. 1</w:t>
      </w:r>
      <w:r w:rsidR="0070579A">
        <w:rPr>
          <w:b/>
        </w:rPr>
        <w:t xml:space="preserve"> </w:t>
      </w:r>
      <w:r w:rsidR="00B13AFA" w:rsidRPr="00B13AFA">
        <w:t>ásetir</w:t>
      </w:r>
      <w:r w:rsidR="00B13AFA">
        <w:t>, at upphæddirnar viðvíkjandi á</w:t>
      </w:r>
      <w:r w:rsidR="0070579A" w:rsidRPr="00B13AFA">
        <w:t>rs</w:t>
      </w:r>
      <w:r w:rsidR="00B13AFA" w:rsidRPr="00B13AFA">
        <w:t>løn, varandi mein</w:t>
      </w:r>
      <w:r w:rsidR="00423FBA">
        <w:t>i</w:t>
      </w:r>
      <w:r w:rsidR="00B13AFA" w:rsidRPr="00B13AFA">
        <w:t xml:space="preserve"> og skiftisveiting til hjúnafelaga</w:t>
      </w:r>
      <w:r w:rsidR="00B13AFA">
        <w:t xml:space="preserve"> verða javnaðar av landsstýrismanninum. Mett verður, at javnan av nevndu upphæddum er partur av samlaðu málsviðgerðini, sum Vanlukkutryggingarráðið hóskand betur kann taka støðu til og avgerð um. </w:t>
      </w:r>
      <w:r w:rsidR="000A34CB">
        <w:t xml:space="preserve"> </w:t>
      </w:r>
      <w:r w:rsidR="00B13AFA">
        <w:t>Tí verður skotið upp, at tað ikki er landsstýrismaðurin sum javnar nevndu upphæddir, men í</w:t>
      </w:r>
      <w:r w:rsidR="00423FBA">
        <w:t xml:space="preserve"> </w:t>
      </w:r>
      <w:r w:rsidR="00B13AFA">
        <w:t>staðin at  Vanlukkutryggingarráðið ger tað.</w:t>
      </w:r>
    </w:p>
    <w:p w:rsidR="00880089" w:rsidRDefault="00880089" w:rsidP="000A34CB">
      <w:pPr>
        <w:ind w:right="567"/>
        <w:jc w:val="both"/>
      </w:pPr>
    </w:p>
    <w:p w:rsidR="00880089" w:rsidRDefault="00880089" w:rsidP="000A34CB">
      <w:pPr>
        <w:ind w:right="567"/>
        <w:jc w:val="both"/>
      </w:pPr>
      <w:r>
        <w:rPr>
          <w:b/>
        </w:rPr>
        <w:t xml:space="preserve">§ 2. </w:t>
      </w:r>
      <w:r>
        <w:t>Ásetir, nær lógin fær gildi</w:t>
      </w:r>
      <w:r w:rsidR="00423FBA">
        <w:t>.</w:t>
      </w:r>
    </w:p>
    <w:p w:rsidR="00880089" w:rsidRDefault="00880089" w:rsidP="000A34CB">
      <w:pPr>
        <w:ind w:right="567"/>
        <w:jc w:val="both"/>
      </w:pPr>
    </w:p>
    <w:p w:rsidR="00BF673F" w:rsidRPr="00BF673F" w:rsidRDefault="000A34CB" w:rsidP="000A34CB">
      <w:pPr>
        <w:ind w:right="567"/>
        <w:jc w:val="both"/>
        <w:rPr>
          <w:lang w:val="de-DE"/>
        </w:rPr>
      </w:pPr>
      <w:r>
        <w:t xml:space="preserve"> </w:t>
      </w:r>
      <w:r w:rsidR="00EC5F26">
        <w:t xml:space="preserve"> </w:t>
      </w:r>
    </w:p>
    <w:p w:rsidR="00BF673F" w:rsidRPr="00BF673F" w:rsidRDefault="00382BF9" w:rsidP="00BF673F">
      <w:pPr>
        <w:pStyle w:val="Overskrift2"/>
        <w:ind w:right="567"/>
        <w:rPr>
          <w:lang w:val="de-DE"/>
        </w:rPr>
      </w:pPr>
      <w:r>
        <w:rPr>
          <w:lang w:val="de-DE"/>
        </w:rPr>
        <w:t>Johan Dahl</w:t>
      </w:r>
    </w:p>
    <w:p w:rsidR="00BF673F" w:rsidRDefault="00BF673F" w:rsidP="00BF673F">
      <w:pPr>
        <w:ind w:right="567"/>
        <w:jc w:val="center"/>
      </w:pPr>
      <w:r>
        <w:t>landsstýris</w:t>
      </w:r>
      <w:r w:rsidR="00382BF9">
        <w:t>maður</w:t>
      </w:r>
    </w:p>
    <w:p w:rsidR="00BF673F" w:rsidRDefault="00BF673F" w:rsidP="00BF673F">
      <w:pPr>
        <w:jc w:val="right"/>
      </w:pPr>
      <w:r>
        <w:t xml:space="preserve">/ </w:t>
      </w:r>
      <w:smartTag w:uri="urn:schemas-microsoft-com:office:smarttags" w:element="PersonName">
        <w:smartTagPr>
          <w:attr w:name="ProductID" w:val="Arne Poulsen"/>
        </w:smartTagPr>
        <w:r>
          <w:t>Arne Poulsen</w:t>
        </w:r>
      </w:smartTag>
    </w:p>
    <w:p w:rsidR="00BF673F" w:rsidRDefault="00BF673F" w:rsidP="00BF673F"/>
    <w:sectPr w:rsidR="00BF673F">
      <w:type w:val="continuous"/>
      <w:pgSz w:w="11907" w:h="16840" w:code="9"/>
      <w:pgMar w:top="1396" w:right="1134" w:bottom="1134" w:left="1418" w:header="397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99" w:rsidRDefault="008F1399">
      <w:r>
        <w:separator/>
      </w:r>
    </w:p>
  </w:endnote>
  <w:endnote w:type="continuationSeparator" w:id="0">
    <w:p w:rsidR="008F1399" w:rsidRDefault="008F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E6" w:rsidRDefault="00A63EE6">
    <w:pPr>
      <w:pStyle w:val="Sidefod"/>
      <w:jc w:val="center"/>
    </w:pPr>
    <w:r>
      <w:rPr>
        <w:rStyle w:val="Sidetal"/>
        <w:rFonts w:ascii="Garamond" w:hAnsi="Garamond"/>
      </w:rPr>
      <w:fldChar w:fldCharType="begin"/>
    </w:r>
    <w:r>
      <w:rPr>
        <w:rStyle w:val="Sidetal"/>
        <w:rFonts w:ascii="Garamond" w:hAnsi="Garamond"/>
      </w:rPr>
      <w:instrText xml:space="preserve"> PAGE </w:instrText>
    </w:r>
    <w:r>
      <w:rPr>
        <w:rStyle w:val="Sidetal"/>
        <w:rFonts w:ascii="Garamond" w:hAnsi="Garamond"/>
      </w:rPr>
      <w:fldChar w:fldCharType="separate"/>
    </w:r>
    <w:r w:rsidR="00E324E6">
      <w:rPr>
        <w:rStyle w:val="Sidetal"/>
        <w:rFonts w:ascii="Garamond" w:hAnsi="Garamond"/>
        <w:noProof/>
      </w:rPr>
      <w:t>2</w:t>
    </w:r>
    <w:r>
      <w:rPr>
        <w:rStyle w:val="Sidetal"/>
        <w:rFonts w:ascii="Garamond" w:hAnsi="Garamond"/>
      </w:rPr>
      <w:fldChar w:fldCharType="end"/>
    </w:r>
    <w:r>
      <w:rPr>
        <w:rStyle w:val="Sidetal"/>
        <w:rFonts w:ascii="Garamond" w:hAnsi="Garamond"/>
      </w:rPr>
      <w:t>/</w:t>
    </w:r>
    <w:r>
      <w:rPr>
        <w:rStyle w:val="Sidetal"/>
        <w:rFonts w:ascii="Garamond" w:hAnsi="Garamond"/>
      </w:rPr>
      <w:fldChar w:fldCharType="begin"/>
    </w:r>
    <w:r>
      <w:rPr>
        <w:rStyle w:val="Sidetal"/>
        <w:rFonts w:ascii="Garamond" w:hAnsi="Garamond"/>
      </w:rPr>
      <w:instrText xml:space="preserve"> NUMPAGES  \* MERGEFORMAT </w:instrText>
    </w:r>
    <w:r>
      <w:rPr>
        <w:rStyle w:val="Sidetal"/>
        <w:rFonts w:ascii="Garamond" w:hAnsi="Garamond"/>
      </w:rPr>
      <w:fldChar w:fldCharType="separate"/>
    </w:r>
    <w:r w:rsidR="00E324E6" w:rsidRPr="00E324E6">
      <w:rPr>
        <w:rStyle w:val="Sidetal"/>
        <w:b/>
        <w:noProof/>
      </w:rPr>
      <w:t>6</w:t>
    </w:r>
    <w:r>
      <w:rPr>
        <w:rStyle w:val="Sidetal"/>
        <w:rFonts w:ascii="Garamond" w:hAnsi="Garamond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E6" w:rsidRDefault="00A63EE6">
    <w:pPr>
      <w:ind w:left="-142" w:right="-143"/>
      <w:jc w:val="center"/>
      <w:rPr>
        <w:rFonts w:ascii="Garamond" w:hAnsi="Garamond"/>
        <w:smallCaps/>
        <w:lang w:val="de-DE"/>
      </w:rPr>
    </w:pPr>
    <w:r>
      <w:rPr>
        <w:rFonts w:ascii="Garamond" w:hAnsi="Garamond"/>
        <w:smallCaps/>
        <w:lang w:val="de-DE"/>
      </w:rPr>
      <w:t xml:space="preserve">Tinganes  •  Postsmoga 377  •  110  Tórshavn </w:t>
    </w:r>
  </w:p>
  <w:p w:rsidR="00A63EE6" w:rsidRDefault="00A63EE6">
    <w:pPr>
      <w:ind w:left="-142" w:right="-143"/>
      <w:jc w:val="center"/>
      <w:rPr>
        <w:rFonts w:ascii="Garamond" w:hAnsi="Garamond"/>
        <w:smallCaps/>
        <w:lang w:val="de-DE"/>
      </w:rPr>
    </w:pPr>
    <w:r>
      <w:rPr>
        <w:rFonts w:ascii="Garamond" w:hAnsi="Garamond"/>
        <w:smallCaps/>
        <w:lang w:val="de-DE"/>
      </w:rPr>
      <w:t>Telefon 30 66 60  •  Telefax   30 66 65  •  E-mail: vmr@vmr.fo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99" w:rsidRDefault="008F1399">
      <w:r>
        <w:separator/>
      </w:r>
    </w:p>
  </w:footnote>
  <w:footnote w:type="continuationSeparator" w:id="0">
    <w:p w:rsidR="008F1399" w:rsidRDefault="008F1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E6" w:rsidRPr="00BB4A25" w:rsidRDefault="00A63EE6" w:rsidP="00430963">
    <w:pPr>
      <w:pStyle w:val="Sidehoved"/>
      <w:jc w:val="center"/>
      <w:rPr>
        <w:rFonts w:ascii="Verdana" w:eastAsia="Arial Unicode MS" w:hAnsi="Verdana" w:cs="Mangal"/>
        <w:b/>
        <w:smallCaps/>
        <w:color w:val="808080"/>
        <w:spacing w:val="26"/>
        <w:sz w:val="20"/>
      </w:rPr>
    </w:pPr>
    <w:r w:rsidRPr="00BB4A25">
      <w:rPr>
        <w:rFonts w:ascii="Verdana" w:eastAsia="Arial Unicode MS" w:hAnsi="Verdana" w:cs="Mangal"/>
        <w:b/>
        <w:smallCaps/>
        <w:color w:val="808080"/>
        <w:spacing w:val="26"/>
        <w:sz w:val="20"/>
      </w:rPr>
      <w:t>VINNUMÁLARÁÐIÐ</w:t>
    </w:r>
  </w:p>
  <w:p w:rsidR="00A63EE6" w:rsidRDefault="00A63EE6">
    <w:pPr>
      <w:pStyle w:val="Sidehove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14"/>
    </w:tblGrid>
    <w:tr w:rsidR="00A63EE6">
      <w:tc>
        <w:tcPr>
          <w:tcW w:w="9214" w:type="dxa"/>
        </w:tcPr>
        <w:p w:rsidR="00A63EE6" w:rsidRDefault="00A63EE6" w:rsidP="00240653">
          <w:pPr>
            <w:pStyle w:val="Sidehoved"/>
            <w:jc w:val="center"/>
            <w:rPr>
              <w:bCs/>
              <w:lang w:val="nb-NO"/>
            </w:rPr>
          </w:pPr>
          <w:r>
            <w:rPr>
              <w:bCs/>
              <w:noProof/>
              <w:lang w:eastAsia="fo-FO"/>
            </w:rPr>
            <w:drawing>
              <wp:inline distT="0" distB="0" distL="0" distR="0">
                <wp:extent cx="523875" cy="590550"/>
                <wp:effectExtent l="0" t="0" r="9525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3EE6" w:rsidRDefault="00A63EE6" w:rsidP="00240653">
          <w:pPr>
            <w:pStyle w:val="Sidehoved"/>
            <w:jc w:val="center"/>
            <w:rPr>
              <w:rFonts w:ascii="Verdana" w:eastAsia="Arial Unicode MS" w:hAnsi="Verdana" w:cs="Mangal"/>
              <w:b/>
              <w:smallCaps/>
              <w:color w:val="808080"/>
              <w:spacing w:val="26"/>
              <w:sz w:val="20"/>
            </w:rPr>
          </w:pPr>
        </w:p>
        <w:p w:rsidR="00A63EE6" w:rsidRPr="001E1CFE" w:rsidRDefault="00A63EE6" w:rsidP="001E1CFE">
          <w:pPr>
            <w:pStyle w:val="Sidehoved"/>
            <w:jc w:val="center"/>
            <w:rPr>
              <w:rFonts w:ascii="Verdana" w:eastAsia="Arial Unicode MS" w:hAnsi="Verdana" w:cs="Mangal"/>
              <w:b/>
              <w:smallCaps/>
              <w:color w:val="808080"/>
              <w:spacing w:val="26"/>
              <w:sz w:val="20"/>
            </w:rPr>
          </w:pPr>
          <w:r>
            <w:rPr>
              <w:rFonts w:ascii="Verdana" w:eastAsia="Arial Unicode MS" w:hAnsi="Verdana" w:cs="Mangal"/>
              <w:b/>
              <w:smallCaps/>
              <w:color w:val="808080"/>
              <w:spacing w:val="26"/>
              <w:sz w:val="20"/>
            </w:rPr>
            <w:t>VINNUMÁLARÁÐIÐ</w:t>
          </w:r>
        </w:p>
      </w:tc>
    </w:tr>
  </w:tbl>
  <w:p w:rsidR="00A63EE6" w:rsidRDefault="00A63EE6">
    <w:pPr>
      <w:pStyle w:val="Sidehoved"/>
      <w:rPr>
        <w:rFonts w:ascii="Garamond" w:hAnsi="Garamond"/>
        <w:sz w:val="2"/>
      </w:rPr>
    </w:pPr>
    <w:r>
      <w:rPr>
        <w:rFonts w:ascii="Garamond" w:hAnsi="Garamond"/>
        <w:b/>
        <w:smallCaps/>
        <w:noProof/>
        <w:sz w:val="44"/>
        <w:lang w:eastAsia="fo-FO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posOffset>10081260</wp:posOffset>
              </wp:positionV>
              <wp:extent cx="7200265" cy="381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200265" cy="381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93.8pt" to="566.95pt,7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" o:allowincell="f" strokeweight=".2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2B0"/>
    <w:multiLevelType w:val="multilevel"/>
    <w:tmpl w:val="34E6A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CA63D3"/>
    <w:multiLevelType w:val="hybridMultilevel"/>
    <w:tmpl w:val="8290781A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6817E76"/>
    <w:multiLevelType w:val="hybridMultilevel"/>
    <w:tmpl w:val="F8BC0B6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C49C3"/>
    <w:multiLevelType w:val="hybridMultilevel"/>
    <w:tmpl w:val="777A0EA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D6DD7"/>
    <w:multiLevelType w:val="hybridMultilevel"/>
    <w:tmpl w:val="544E88BC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8A"/>
    <w:rsid w:val="00000D1E"/>
    <w:rsid w:val="0000133B"/>
    <w:rsid w:val="00003315"/>
    <w:rsid w:val="0001247F"/>
    <w:rsid w:val="000149F6"/>
    <w:rsid w:val="000364AB"/>
    <w:rsid w:val="000376D9"/>
    <w:rsid w:val="0004407C"/>
    <w:rsid w:val="00045DC8"/>
    <w:rsid w:val="00055548"/>
    <w:rsid w:val="00071BDE"/>
    <w:rsid w:val="000A0F61"/>
    <w:rsid w:val="000A34CB"/>
    <w:rsid w:val="000A66B8"/>
    <w:rsid w:val="000D40A5"/>
    <w:rsid w:val="000E0A8F"/>
    <w:rsid w:val="000F6474"/>
    <w:rsid w:val="000F72E2"/>
    <w:rsid w:val="000F740C"/>
    <w:rsid w:val="00113343"/>
    <w:rsid w:val="0012482D"/>
    <w:rsid w:val="001277E0"/>
    <w:rsid w:val="00133393"/>
    <w:rsid w:val="00133DCE"/>
    <w:rsid w:val="00136DB1"/>
    <w:rsid w:val="001420ED"/>
    <w:rsid w:val="0015734A"/>
    <w:rsid w:val="00162946"/>
    <w:rsid w:val="00163A70"/>
    <w:rsid w:val="00174C96"/>
    <w:rsid w:val="001833DF"/>
    <w:rsid w:val="00190CDE"/>
    <w:rsid w:val="00190DBC"/>
    <w:rsid w:val="00193B95"/>
    <w:rsid w:val="001A5136"/>
    <w:rsid w:val="001A6566"/>
    <w:rsid w:val="001A7EF9"/>
    <w:rsid w:val="001B1E1C"/>
    <w:rsid w:val="001B57DE"/>
    <w:rsid w:val="001B6D24"/>
    <w:rsid w:val="001C26E0"/>
    <w:rsid w:val="001D471A"/>
    <w:rsid w:val="001E1CFE"/>
    <w:rsid w:val="001E51BC"/>
    <w:rsid w:val="001F06F0"/>
    <w:rsid w:val="0020375D"/>
    <w:rsid w:val="00220E92"/>
    <w:rsid w:val="00226C82"/>
    <w:rsid w:val="00235DB6"/>
    <w:rsid w:val="00235FB8"/>
    <w:rsid w:val="00240653"/>
    <w:rsid w:val="00250F54"/>
    <w:rsid w:val="00254500"/>
    <w:rsid w:val="00263D4C"/>
    <w:rsid w:val="00281243"/>
    <w:rsid w:val="002823BC"/>
    <w:rsid w:val="00291947"/>
    <w:rsid w:val="002B58C0"/>
    <w:rsid w:val="002B673B"/>
    <w:rsid w:val="002C0806"/>
    <w:rsid w:val="002C0C6A"/>
    <w:rsid w:val="002E1B23"/>
    <w:rsid w:val="002E4A7A"/>
    <w:rsid w:val="002E7C3B"/>
    <w:rsid w:val="003100DB"/>
    <w:rsid w:val="00335D91"/>
    <w:rsid w:val="003412C3"/>
    <w:rsid w:val="00351D5C"/>
    <w:rsid w:val="0036453D"/>
    <w:rsid w:val="00382BF9"/>
    <w:rsid w:val="003848EA"/>
    <w:rsid w:val="003957D6"/>
    <w:rsid w:val="003A6311"/>
    <w:rsid w:val="003B0949"/>
    <w:rsid w:val="003B4269"/>
    <w:rsid w:val="003C2B5E"/>
    <w:rsid w:val="003D126B"/>
    <w:rsid w:val="003D6E68"/>
    <w:rsid w:val="003E4476"/>
    <w:rsid w:val="003E5EDA"/>
    <w:rsid w:val="003E6934"/>
    <w:rsid w:val="004011AC"/>
    <w:rsid w:val="00401DB2"/>
    <w:rsid w:val="004051A0"/>
    <w:rsid w:val="00423725"/>
    <w:rsid w:val="00423FBA"/>
    <w:rsid w:val="00430963"/>
    <w:rsid w:val="00433673"/>
    <w:rsid w:val="00433F76"/>
    <w:rsid w:val="00435206"/>
    <w:rsid w:val="00436EB3"/>
    <w:rsid w:val="00436EC2"/>
    <w:rsid w:val="00442A38"/>
    <w:rsid w:val="00456F73"/>
    <w:rsid w:val="00472498"/>
    <w:rsid w:val="00472F73"/>
    <w:rsid w:val="004A5FBC"/>
    <w:rsid w:val="004B4E40"/>
    <w:rsid w:val="004C007E"/>
    <w:rsid w:val="004D17AB"/>
    <w:rsid w:val="004D4808"/>
    <w:rsid w:val="004D503E"/>
    <w:rsid w:val="004D7128"/>
    <w:rsid w:val="004D745F"/>
    <w:rsid w:val="004E0E44"/>
    <w:rsid w:val="004E15A0"/>
    <w:rsid w:val="004E3ED9"/>
    <w:rsid w:val="004E7F60"/>
    <w:rsid w:val="004F1185"/>
    <w:rsid w:val="004F3533"/>
    <w:rsid w:val="004F7997"/>
    <w:rsid w:val="005009B8"/>
    <w:rsid w:val="00500A18"/>
    <w:rsid w:val="005070AB"/>
    <w:rsid w:val="00533C76"/>
    <w:rsid w:val="0053714A"/>
    <w:rsid w:val="0054622D"/>
    <w:rsid w:val="00547A78"/>
    <w:rsid w:val="0056048E"/>
    <w:rsid w:val="005C067D"/>
    <w:rsid w:val="005C7663"/>
    <w:rsid w:val="005E5709"/>
    <w:rsid w:val="005F2326"/>
    <w:rsid w:val="005F4F99"/>
    <w:rsid w:val="00600E16"/>
    <w:rsid w:val="00602A87"/>
    <w:rsid w:val="00612E53"/>
    <w:rsid w:val="006168F5"/>
    <w:rsid w:val="00620416"/>
    <w:rsid w:val="006212B9"/>
    <w:rsid w:val="00631554"/>
    <w:rsid w:val="00633213"/>
    <w:rsid w:val="00633644"/>
    <w:rsid w:val="00642C95"/>
    <w:rsid w:val="00645CB0"/>
    <w:rsid w:val="00646B97"/>
    <w:rsid w:val="00647CF2"/>
    <w:rsid w:val="00657F69"/>
    <w:rsid w:val="0066151F"/>
    <w:rsid w:val="00666EFE"/>
    <w:rsid w:val="00670383"/>
    <w:rsid w:val="006719F9"/>
    <w:rsid w:val="00684948"/>
    <w:rsid w:val="00686BCD"/>
    <w:rsid w:val="006A0158"/>
    <w:rsid w:val="006B53D6"/>
    <w:rsid w:val="006D04D8"/>
    <w:rsid w:val="006D4805"/>
    <w:rsid w:val="006F7D1A"/>
    <w:rsid w:val="0070579A"/>
    <w:rsid w:val="00711526"/>
    <w:rsid w:val="00725987"/>
    <w:rsid w:val="00726A7F"/>
    <w:rsid w:val="00734ABC"/>
    <w:rsid w:val="007420D7"/>
    <w:rsid w:val="0074477C"/>
    <w:rsid w:val="0074501D"/>
    <w:rsid w:val="00745EC2"/>
    <w:rsid w:val="00753276"/>
    <w:rsid w:val="0076114F"/>
    <w:rsid w:val="0076549F"/>
    <w:rsid w:val="00766DBC"/>
    <w:rsid w:val="00772E5F"/>
    <w:rsid w:val="00773E35"/>
    <w:rsid w:val="00775A85"/>
    <w:rsid w:val="00776134"/>
    <w:rsid w:val="007B154F"/>
    <w:rsid w:val="007B4282"/>
    <w:rsid w:val="007E1DF4"/>
    <w:rsid w:val="007E5674"/>
    <w:rsid w:val="007E7985"/>
    <w:rsid w:val="007F0CD3"/>
    <w:rsid w:val="008026A6"/>
    <w:rsid w:val="008074BC"/>
    <w:rsid w:val="008115BE"/>
    <w:rsid w:val="008178DE"/>
    <w:rsid w:val="00821D68"/>
    <w:rsid w:val="008229FB"/>
    <w:rsid w:val="00834B8F"/>
    <w:rsid w:val="00835E40"/>
    <w:rsid w:val="00837B6F"/>
    <w:rsid w:val="00840ABA"/>
    <w:rsid w:val="00847A85"/>
    <w:rsid w:val="00856BD5"/>
    <w:rsid w:val="00857BEA"/>
    <w:rsid w:val="00864FC7"/>
    <w:rsid w:val="00880089"/>
    <w:rsid w:val="00890D92"/>
    <w:rsid w:val="00890F5D"/>
    <w:rsid w:val="00891B74"/>
    <w:rsid w:val="008A2E90"/>
    <w:rsid w:val="008A5B1E"/>
    <w:rsid w:val="008A7174"/>
    <w:rsid w:val="008C2CE7"/>
    <w:rsid w:val="008D7572"/>
    <w:rsid w:val="008E0404"/>
    <w:rsid w:val="008E1F01"/>
    <w:rsid w:val="008E6A54"/>
    <w:rsid w:val="008F1399"/>
    <w:rsid w:val="008F28AC"/>
    <w:rsid w:val="008F3D64"/>
    <w:rsid w:val="008F5193"/>
    <w:rsid w:val="00901E15"/>
    <w:rsid w:val="00910607"/>
    <w:rsid w:val="00916913"/>
    <w:rsid w:val="00922DA3"/>
    <w:rsid w:val="00930B4A"/>
    <w:rsid w:val="00930FDC"/>
    <w:rsid w:val="00944714"/>
    <w:rsid w:val="009505AC"/>
    <w:rsid w:val="00954F8A"/>
    <w:rsid w:val="00970965"/>
    <w:rsid w:val="0097311D"/>
    <w:rsid w:val="00993F5F"/>
    <w:rsid w:val="0099404C"/>
    <w:rsid w:val="009B0C67"/>
    <w:rsid w:val="009E183D"/>
    <w:rsid w:val="009F26E5"/>
    <w:rsid w:val="009F69AC"/>
    <w:rsid w:val="00A1194C"/>
    <w:rsid w:val="00A15136"/>
    <w:rsid w:val="00A25285"/>
    <w:rsid w:val="00A30FE5"/>
    <w:rsid w:val="00A43239"/>
    <w:rsid w:val="00A565A0"/>
    <w:rsid w:val="00A577FD"/>
    <w:rsid w:val="00A63EE6"/>
    <w:rsid w:val="00A724F3"/>
    <w:rsid w:val="00A77D42"/>
    <w:rsid w:val="00A93325"/>
    <w:rsid w:val="00A95911"/>
    <w:rsid w:val="00AA128B"/>
    <w:rsid w:val="00AB38B3"/>
    <w:rsid w:val="00AB7DA2"/>
    <w:rsid w:val="00AC1274"/>
    <w:rsid w:val="00AC2264"/>
    <w:rsid w:val="00AC251E"/>
    <w:rsid w:val="00AD6BEE"/>
    <w:rsid w:val="00AE0C19"/>
    <w:rsid w:val="00AE137C"/>
    <w:rsid w:val="00AE1474"/>
    <w:rsid w:val="00AE3FAD"/>
    <w:rsid w:val="00AF2DE2"/>
    <w:rsid w:val="00AF4C48"/>
    <w:rsid w:val="00AF7953"/>
    <w:rsid w:val="00AF7FB8"/>
    <w:rsid w:val="00B13AFA"/>
    <w:rsid w:val="00B365B9"/>
    <w:rsid w:val="00B42877"/>
    <w:rsid w:val="00B44126"/>
    <w:rsid w:val="00B50261"/>
    <w:rsid w:val="00B60BEB"/>
    <w:rsid w:val="00B64039"/>
    <w:rsid w:val="00B65DA0"/>
    <w:rsid w:val="00B71BF5"/>
    <w:rsid w:val="00B7234F"/>
    <w:rsid w:val="00B745B7"/>
    <w:rsid w:val="00B75577"/>
    <w:rsid w:val="00B75DC0"/>
    <w:rsid w:val="00B8783B"/>
    <w:rsid w:val="00BA24A6"/>
    <w:rsid w:val="00BA65CC"/>
    <w:rsid w:val="00BB4A25"/>
    <w:rsid w:val="00BC25CD"/>
    <w:rsid w:val="00BD7847"/>
    <w:rsid w:val="00BD7F3D"/>
    <w:rsid w:val="00BE4541"/>
    <w:rsid w:val="00BF3FB5"/>
    <w:rsid w:val="00BF4269"/>
    <w:rsid w:val="00BF673F"/>
    <w:rsid w:val="00C1038D"/>
    <w:rsid w:val="00C1386C"/>
    <w:rsid w:val="00C14C69"/>
    <w:rsid w:val="00C24177"/>
    <w:rsid w:val="00C249DB"/>
    <w:rsid w:val="00C2669B"/>
    <w:rsid w:val="00C37D64"/>
    <w:rsid w:val="00C516FC"/>
    <w:rsid w:val="00C51C36"/>
    <w:rsid w:val="00C54844"/>
    <w:rsid w:val="00C6725F"/>
    <w:rsid w:val="00C8482F"/>
    <w:rsid w:val="00C90133"/>
    <w:rsid w:val="00CA00EB"/>
    <w:rsid w:val="00CA3ADC"/>
    <w:rsid w:val="00CA7103"/>
    <w:rsid w:val="00CB69F8"/>
    <w:rsid w:val="00CB6D07"/>
    <w:rsid w:val="00CB7A21"/>
    <w:rsid w:val="00CC41A6"/>
    <w:rsid w:val="00CC6BF5"/>
    <w:rsid w:val="00CE7ED7"/>
    <w:rsid w:val="00CF3030"/>
    <w:rsid w:val="00D07B08"/>
    <w:rsid w:val="00D16E69"/>
    <w:rsid w:val="00D51512"/>
    <w:rsid w:val="00D54E5B"/>
    <w:rsid w:val="00D571CF"/>
    <w:rsid w:val="00D603FD"/>
    <w:rsid w:val="00D66EE2"/>
    <w:rsid w:val="00D74A1C"/>
    <w:rsid w:val="00D80D9D"/>
    <w:rsid w:val="00D92C2E"/>
    <w:rsid w:val="00DB19A6"/>
    <w:rsid w:val="00DB31AE"/>
    <w:rsid w:val="00DB3F72"/>
    <w:rsid w:val="00DD3703"/>
    <w:rsid w:val="00E0099B"/>
    <w:rsid w:val="00E222CC"/>
    <w:rsid w:val="00E26766"/>
    <w:rsid w:val="00E324E6"/>
    <w:rsid w:val="00E356C5"/>
    <w:rsid w:val="00E64B24"/>
    <w:rsid w:val="00E7528F"/>
    <w:rsid w:val="00E836F1"/>
    <w:rsid w:val="00E84CDE"/>
    <w:rsid w:val="00E910CD"/>
    <w:rsid w:val="00E91E25"/>
    <w:rsid w:val="00E94BB5"/>
    <w:rsid w:val="00E95DDF"/>
    <w:rsid w:val="00EB6276"/>
    <w:rsid w:val="00EC5F26"/>
    <w:rsid w:val="00ED59E9"/>
    <w:rsid w:val="00EE0E47"/>
    <w:rsid w:val="00EE1F03"/>
    <w:rsid w:val="00EF0D9D"/>
    <w:rsid w:val="00EF4557"/>
    <w:rsid w:val="00EF4AD9"/>
    <w:rsid w:val="00EF515D"/>
    <w:rsid w:val="00F14B48"/>
    <w:rsid w:val="00F20469"/>
    <w:rsid w:val="00F23F69"/>
    <w:rsid w:val="00F37346"/>
    <w:rsid w:val="00F464F0"/>
    <w:rsid w:val="00F53620"/>
    <w:rsid w:val="00F64A94"/>
    <w:rsid w:val="00F7265C"/>
    <w:rsid w:val="00F8018F"/>
    <w:rsid w:val="00F83499"/>
    <w:rsid w:val="00F86612"/>
    <w:rsid w:val="00F903C1"/>
    <w:rsid w:val="00FA39FF"/>
    <w:rsid w:val="00FA4B8A"/>
    <w:rsid w:val="00FA7F23"/>
    <w:rsid w:val="00FB0732"/>
    <w:rsid w:val="00FB6FF4"/>
    <w:rsid w:val="00FC3F96"/>
    <w:rsid w:val="00FD09B5"/>
    <w:rsid w:val="00FD67DD"/>
    <w:rsid w:val="00FE3D6A"/>
    <w:rsid w:val="00FE3DE7"/>
    <w:rsid w:val="00FE4F3B"/>
    <w:rsid w:val="00FF392B"/>
    <w:rsid w:val="00FF702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fo-FO"/>
    </w:rPr>
  </w:style>
  <w:style w:type="paragraph" w:styleId="Overskrift1">
    <w:name w:val="heading 1"/>
    <w:basedOn w:val="Normal"/>
    <w:next w:val="Normal"/>
    <w:qFormat/>
    <w:rsid w:val="00BF67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BF673F"/>
    <w:pPr>
      <w:keepNext/>
      <w:jc w:val="center"/>
      <w:outlineLvl w:val="1"/>
    </w:pPr>
    <w:rPr>
      <w:b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rsid w:val="00E91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apitelnummer">
    <w:name w:val="Kapitelnummer"/>
    <w:basedOn w:val="Normal"/>
    <w:next w:val="Normal"/>
    <w:rsid w:val="00BF673F"/>
    <w:pPr>
      <w:keepNext/>
      <w:spacing w:before="240"/>
      <w:jc w:val="center"/>
    </w:pPr>
    <w:rPr>
      <w:b/>
      <w:noProof/>
      <w:lang w:val="da-DK"/>
    </w:rPr>
  </w:style>
  <w:style w:type="paragraph" w:customStyle="1" w:styleId="Kapiteloverskrift">
    <w:name w:val="Kapiteloverskrift"/>
    <w:basedOn w:val="Kapitelnummer"/>
    <w:next w:val="Normal"/>
    <w:rsid w:val="00BF673F"/>
    <w:pPr>
      <w:suppressAutoHyphens/>
      <w:spacing w:before="0"/>
    </w:pPr>
  </w:style>
  <w:style w:type="paragraph" w:styleId="Brdtekst">
    <w:name w:val="Body Text"/>
    <w:basedOn w:val="Normal"/>
    <w:rsid w:val="00BF673F"/>
    <w:pPr>
      <w:jc w:val="both"/>
    </w:pPr>
    <w:rPr>
      <w:lang w:val="da-DK"/>
    </w:rPr>
  </w:style>
  <w:style w:type="paragraph" w:styleId="Markeringsbobletekst">
    <w:name w:val="Balloon Text"/>
    <w:basedOn w:val="Normal"/>
    <w:semiHidden/>
    <w:rsid w:val="00DB3F7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E5EDA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fo-FO"/>
    </w:rPr>
  </w:style>
  <w:style w:type="paragraph" w:styleId="Overskrift1">
    <w:name w:val="heading 1"/>
    <w:basedOn w:val="Normal"/>
    <w:next w:val="Normal"/>
    <w:qFormat/>
    <w:rsid w:val="00BF67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BF673F"/>
    <w:pPr>
      <w:keepNext/>
      <w:jc w:val="center"/>
      <w:outlineLvl w:val="1"/>
    </w:pPr>
    <w:rPr>
      <w:b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rsid w:val="00E91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apitelnummer">
    <w:name w:val="Kapitelnummer"/>
    <w:basedOn w:val="Normal"/>
    <w:next w:val="Normal"/>
    <w:rsid w:val="00BF673F"/>
    <w:pPr>
      <w:keepNext/>
      <w:spacing w:before="240"/>
      <w:jc w:val="center"/>
    </w:pPr>
    <w:rPr>
      <w:b/>
      <w:noProof/>
      <w:lang w:val="da-DK"/>
    </w:rPr>
  </w:style>
  <w:style w:type="paragraph" w:customStyle="1" w:styleId="Kapiteloverskrift">
    <w:name w:val="Kapiteloverskrift"/>
    <w:basedOn w:val="Kapitelnummer"/>
    <w:next w:val="Normal"/>
    <w:rsid w:val="00BF673F"/>
    <w:pPr>
      <w:suppressAutoHyphens/>
      <w:spacing w:before="0"/>
    </w:pPr>
  </w:style>
  <w:style w:type="paragraph" w:styleId="Brdtekst">
    <w:name w:val="Body Text"/>
    <w:basedOn w:val="Normal"/>
    <w:rsid w:val="00BF673F"/>
    <w:pPr>
      <w:jc w:val="both"/>
    </w:pPr>
    <w:rPr>
      <w:lang w:val="da-DK"/>
    </w:rPr>
  </w:style>
  <w:style w:type="paragraph" w:styleId="Markeringsbobletekst">
    <w:name w:val="Balloon Text"/>
    <w:basedOn w:val="Normal"/>
    <w:semiHidden/>
    <w:rsid w:val="00DB3F7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E5EDA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arturd\Desktop\skabelonir%20-%20Kopi%20-%20Kopi\L&#243;garuppskot%202008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BBBF-E642-4CAA-BE91-26AC8E38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Lógaruppskot 2008</Template>
  <TotalTime>19</TotalTime>
  <Pages>6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Brevskabelon</vt:lpstr>
    </vt:vector>
  </TitlesOfParts>
  <Company>Føroya Landsstýri</Company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subject>Brevskabelon</dc:subject>
  <dc:creator>Bjartur Dalsgarð</dc:creator>
  <cp:lastModifiedBy>Annika Petersen</cp:lastModifiedBy>
  <cp:revision>4</cp:revision>
  <cp:lastPrinted>2012-01-23T09:00:00Z</cp:lastPrinted>
  <dcterms:created xsi:type="dcterms:W3CDTF">2012-01-24T01:00:00Z</dcterms:created>
  <dcterms:modified xsi:type="dcterms:W3CDTF">2012-01-25T12:32:00Z</dcterms:modified>
  <cp:category>Brev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Side2">
    <vt:lpwstr>Løgmansskrivstovan</vt:lpwstr>
  </property>
  <property fmtid="{D5CDD505-2E9C-101B-9397-08002B2CF9AE}" pid="3" name="UnderAfdelingSide2">
    <vt:lpwstr>Umsitingin</vt:lpwstr>
  </property>
</Properties>
</file>